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共同富裕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课题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、宁波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高质量发展建设共同富裕先行市年度评估报告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研究重点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根据中央及省关于建立评价体系和示范推广机制等相关要求，科学评估宁波共同富裕先行市一周年建设成效，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系统梳理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共同富裕扎实推动过程中的问题，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瞄准目标，找准差距，补齐短板，研究提出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下一步突破路径，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为更好地推进高质量建设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共同富裕先行市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提供建设思路和发展方向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完成时间：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补助金额：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2、共同富裕背景下宁波重点人群收入提升政策研究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研究重点：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重点围绕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中小企业主和个体工商户、高校毕业生、技术工人、科研人员、新就业形态从业人员、进城农民工、低收入农户、困难群体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重点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人群，深入分析“扩中”和“提低”重点群体收入结构的基础上，梳理就业渠道、兜底保障、培训补贴等方面存在的问题，对比分析国内先进城市重点群体增收的创新做法，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研究提出宁波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促进重点人群收入提升的发展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思路、</w:t>
      </w:r>
      <w:r>
        <w:rPr>
          <w:rFonts w:hint="eastAsia" w:ascii="仿宋_GB2312" w:hAnsi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实施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路径及建议措施。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完成时间：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补助金额：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宁波市公共服务设施布局统筹优化研究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研究重点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国家和省公共服务“十四五”规划以及我市围绕建设共同富裕先行市等相关要求，对标一流，分析国内先进城市的优秀经验，以构建高质量现代化公共服务体系为目标，提升我市公共服务设施的供给，优化我市公共服务设施的总体布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完成时间：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补助金额：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4、共同富裕视角下的基层公共服务供给研究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研究重点：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贯彻落实中央、省委推动共同富裕先行示范的战略部署，聚焦县域城镇化和城乡社区现代化建设重点，围绕人民群众日益增长的美好生活需要，对标对表我市“十四五”公共服务体系建设的目标重点，分析梳理我市基层公共服务供给的基本情况，研究剖析基层医疗卫生、教育、养老、文化体育等领域公共服务的短板弱项，以增强基层公共服务能级、提升基层公共服务供给实效为出发点，研究提出优化基层公共服务供给的基本思路和工作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完成时间：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补助金额：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元</w:t>
      </w:r>
    </w:p>
    <w:p>
      <w:pPr>
        <w:pStyle w:val="8"/>
        <w:widowControl/>
        <w:spacing w:beforeAutospacing="0" w:afterAutospacing="0" w:line="580" w:lineRule="exact"/>
        <w:jc w:val="both"/>
        <w:rPr>
          <w:rFonts w:hint="default" w:ascii="Times New Roman" w:hAnsi="Times New Roman" w:eastAsia="方正仿宋简体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widowControl/>
        <w:spacing w:beforeAutospacing="0" w:afterAutospacing="0" w:line="580" w:lineRule="exact"/>
        <w:jc w:val="both"/>
        <w:rPr>
          <w:rFonts w:hint="default" w:ascii="Times New Roman" w:hAnsi="Times New Roman" w:eastAsia="方正仿宋简体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widowControl/>
        <w:spacing w:beforeAutospacing="0" w:afterAutospacing="0" w:line="580" w:lineRule="exact"/>
        <w:jc w:val="both"/>
        <w:rPr>
          <w:rFonts w:hint="default" w:ascii="Times New Roman" w:hAnsi="Times New Roman" w:eastAsia="方正仿宋简体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widowControl/>
        <w:spacing w:beforeAutospacing="0" w:afterAutospacing="0" w:line="580" w:lineRule="exact"/>
        <w:jc w:val="both"/>
        <w:rPr>
          <w:rFonts w:hint="default" w:ascii="Times New Roman" w:hAnsi="Times New Roman" w:eastAsia="方正仿宋简体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widowControl/>
        <w:spacing w:beforeAutospacing="0" w:afterAutospacing="0" w:line="580" w:lineRule="exact"/>
        <w:jc w:val="both"/>
        <w:rPr>
          <w:rFonts w:hint="default" w:ascii="Times New Roman" w:hAnsi="Times New Roman" w:eastAsia="方正仿宋简体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75E49A-5832-4BE0-A9CC-7B33206B9C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0114DFF-7DCB-4AE0-877C-DE937C212A7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AE2C488-7E38-41D9-AE0E-38F7F4CD42D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44F6FB2A-79C1-4678-A7B5-C2D0640A7DA2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016B97A-7898-4504-B0E1-E13C279D1D8D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6" w:fontKey="{179EE098-B8AB-4755-8371-E80FF46AECB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2UwZWE5NTEwYmNlMTJmMGQxZmVlZGNmMmU0YjEifQ=="/>
  </w:docVars>
  <w:rsids>
    <w:rsidRoot w:val="25270F42"/>
    <w:rsid w:val="000B2C39"/>
    <w:rsid w:val="00110853"/>
    <w:rsid w:val="004648DD"/>
    <w:rsid w:val="00470318"/>
    <w:rsid w:val="004F5607"/>
    <w:rsid w:val="00C87C35"/>
    <w:rsid w:val="00E51826"/>
    <w:rsid w:val="0928534F"/>
    <w:rsid w:val="14B321A5"/>
    <w:rsid w:val="15657CA7"/>
    <w:rsid w:val="18CA1BF7"/>
    <w:rsid w:val="1D3A42BA"/>
    <w:rsid w:val="1EED1C45"/>
    <w:rsid w:val="25270F42"/>
    <w:rsid w:val="25DA1742"/>
    <w:rsid w:val="31B07280"/>
    <w:rsid w:val="331D730B"/>
    <w:rsid w:val="3A391915"/>
    <w:rsid w:val="3CD90391"/>
    <w:rsid w:val="3EDC3847"/>
    <w:rsid w:val="41D318F1"/>
    <w:rsid w:val="4B49061B"/>
    <w:rsid w:val="52350080"/>
    <w:rsid w:val="5CA877A1"/>
    <w:rsid w:val="63A07B99"/>
    <w:rsid w:val="66EF59F0"/>
    <w:rsid w:val="681D6E17"/>
    <w:rsid w:val="70896C3D"/>
    <w:rsid w:val="70C023BE"/>
    <w:rsid w:val="773E14C6"/>
    <w:rsid w:val="7A0B2C16"/>
    <w:rsid w:val="7E0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jc w:val="lef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line="580" w:lineRule="exact"/>
      <w:ind w:firstLine="883" w:firstLineChars="200"/>
      <w:jc w:val="left"/>
      <w:outlineLvl w:val="1"/>
    </w:pPr>
    <w:rPr>
      <w:rFonts w:hint="eastAsia" w:ascii="宋体" w:hAnsi="宋体" w:eastAsia="楷体_GB2312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line="580" w:lineRule="exact"/>
      <w:ind w:firstLine="883" w:firstLineChars="200"/>
      <w:jc w:val="left"/>
      <w:outlineLvl w:val="2"/>
    </w:pPr>
    <w:rPr>
      <w:rFonts w:hint="eastAsia" w:ascii="宋体" w:hAnsi="宋体" w:cs="Times New Roman"/>
      <w:b/>
      <w:kern w:val="0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580" w:lineRule="exact"/>
      <w:ind w:firstLine="883" w:firstLineChars="200"/>
    </w:pPr>
    <w:rPr>
      <w:rFonts w:ascii="Times New Roman" w:hAnsi="Times New Roman" w:cs="仿宋_GB2312"/>
      <w:szCs w:val="32"/>
      <w:lang w:val="zh-CN" w:bidi="zh-CN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7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2341</Words>
  <Characters>2477</Characters>
  <Lines>7</Lines>
  <Paragraphs>2</Paragraphs>
  <TotalTime>3</TotalTime>
  <ScaleCrop>false</ScaleCrop>
  <LinksUpToDate>false</LinksUpToDate>
  <CharactersWithSpaces>2888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2022-06-13T07:46:00Z</dcterms:created>
  <dc:creator>唐煜茹</dc:creator>
  <cp:lastModifiedBy>净净</cp:lastModifiedBy>
  <cp:lastPrinted>2022-07-04T07:41:00Z</cp:lastPrinted>
  <dcterms:modified xsi:type="dcterms:W3CDTF">2022-07-07T07:41:37Z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A9C070FA79234B03BBE43D15F2388001</vt:lpwstr>
  </property>
</Properties>
</file>