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right="0" w:rightChars="0"/>
        <w:jc w:val="left"/>
        <w:textAlignment w:val="auto"/>
        <w:outlineLvl w:val="9"/>
        <w:rPr>
          <w:rFonts w:hint="default" w:eastAsia="黑体" w:cs="Times New Roman"/>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right="0" w:rightChars="0"/>
        <w:jc w:val="left"/>
        <w:textAlignment w:val="auto"/>
        <w:outlineLvl w:val="9"/>
        <w:rPr>
          <w:rFonts w:hint="default" w:ascii="Times New Roman" w:hAnsi="Times New Roman" w:eastAsia="黑体" w:cs="Times New Roman"/>
          <w:bCs/>
          <w:sz w:val="32"/>
          <w:szCs w:val="32"/>
          <w:lang w:val="en-US" w:eastAsia="zh-CN"/>
        </w:rPr>
      </w:pPr>
      <w:bookmarkStart w:id="0" w:name="_GoBack"/>
      <w:bookmarkEnd w:id="0"/>
      <w:r>
        <w:rPr>
          <w:rFonts w:hint="default" w:eastAsia="黑体" w:cs="Times New Roman"/>
          <w:bCs/>
          <w:sz w:val="32"/>
          <w:szCs w:val="32"/>
          <w:lang w:eastAsia="zh-CN"/>
        </w:rPr>
        <w:t>附件</w:t>
      </w:r>
      <w:r>
        <w:rPr>
          <w:rFonts w:hint="eastAsia" w:eastAsia="黑体" w:cs="Times New Roman"/>
          <w:bCs/>
          <w:sz w:val="32"/>
          <w:szCs w:val="32"/>
          <w:lang w:val="en-US" w:eastAsia="zh-CN"/>
        </w:rPr>
        <w:t>1</w:t>
      </w:r>
    </w:p>
    <w:p>
      <w:pPr>
        <w:spacing w:line="520" w:lineRule="exact"/>
        <w:rPr>
          <w:rFonts w:eastAsia="方正小标宋简体"/>
          <w:kern w:val="0"/>
          <w:sz w:val="44"/>
          <w:szCs w:val="44"/>
        </w:rPr>
      </w:pPr>
    </w:p>
    <w:p>
      <w:pPr>
        <w:spacing w:line="520" w:lineRule="exact"/>
        <w:ind w:left="2615" w:hanging="1896" w:hangingChars="600"/>
        <w:jc w:val="center"/>
        <w:rPr>
          <w:rFonts w:eastAsia="方正小标宋简体"/>
          <w:spacing w:val="-20"/>
          <w:kern w:val="0"/>
          <w:sz w:val="36"/>
          <w:szCs w:val="36"/>
        </w:rPr>
      </w:pPr>
      <w:r>
        <w:rPr>
          <w:rFonts w:eastAsia="方正小标宋简体"/>
          <w:spacing w:val="-20"/>
          <w:kern w:val="0"/>
          <w:sz w:val="36"/>
          <w:szCs w:val="36"/>
        </w:rPr>
        <w:t>浙江省</w:t>
      </w:r>
      <w:r>
        <w:rPr>
          <w:rFonts w:hint="default" w:eastAsia="方正小标宋简体"/>
          <w:spacing w:val="-20"/>
          <w:kern w:val="0"/>
          <w:sz w:val="36"/>
          <w:szCs w:val="36"/>
        </w:rPr>
        <w:t>“</w:t>
      </w:r>
      <w:r>
        <w:rPr>
          <w:rFonts w:eastAsia="方正小标宋简体"/>
          <w:spacing w:val="-20"/>
          <w:kern w:val="0"/>
          <w:sz w:val="36"/>
          <w:szCs w:val="36"/>
        </w:rPr>
        <w:t>一带一路</w:t>
      </w:r>
      <w:r>
        <w:rPr>
          <w:rFonts w:hint="default" w:eastAsia="方正小标宋简体"/>
          <w:spacing w:val="-20"/>
          <w:kern w:val="0"/>
          <w:sz w:val="36"/>
          <w:szCs w:val="36"/>
        </w:rPr>
        <w:t>”</w:t>
      </w:r>
      <w:r>
        <w:rPr>
          <w:rFonts w:eastAsia="方正小标宋简体"/>
          <w:spacing w:val="-20"/>
          <w:kern w:val="0"/>
          <w:sz w:val="36"/>
          <w:szCs w:val="36"/>
        </w:rPr>
        <w:t>建设先进</w:t>
      </w:r>
      <w:r>
        <w:rPr>
          <w:rFonts w:hint="eastAsia" w:eastAsia="方正小标宋简体"/>
          <w:spacing w:val="-20"/>
          <w:kern w:val="0"/>
          <w:sz w:val="36"/>
          <w:szCs w:val="36"/>
          <w:lang w:val="en-US" w:eastAsia="zh-CN"/>
        </w:rPr>
        <w:t>集体拟推荐单位基本情况</w:t>
      </w:r>
    </w:p>
    <w:p>
      <w:pPr>
        <w:spacing w:line="400" w:lineRule="exact"/>
        <w:rPr>
          <w:kern w:val="0"/>
          <w:sz w:val="24"/>
          <w:u w:val="single"/>
        </w:rPr>
      </w:pPr>
    </w:p>
    <w:tbl>
      <w:tblPr>
        <w:tblStyle w:val="8"/>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30"/>
        <w:gridCol w:w="1275"/>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vAlign w:val="center"/>
          </w:tcPr>
          <w:p>
            <w:pPr>
              <w:widowControl/>
              <w:jc w:val="center"/>
              <w:rPr>
                <w:rFonts w:hint="eastAsia" w:ascii="Times New Roman" w:hAnsi="Times New Roman" w:eastAsia="黑体" w:cs="Times New Roman"/>
                <w:kern w:val="0"/>
                <w:sz w:val="24"/>
                <w:lang w:val="en-US" w:eastAsia="zh-CN"/>
              </w:rPr>
            </w:pPr>
            <w:r>
              <w:rPr>
                <w:rFonts w:hint="eastAsia" w:eastAsia="黑体" w:cs="Times New Roman"/>
                <w:kern w:val="0"/>
                <w:sz w:val="24"/>
                <w:lang w:val="en-US" w:eastAsia="zh-CN"/>
              </w:rPr>
              <w:t>序号</w:t>
            </w:r>
          </w:p>
        </w:tc>
        <w:tc>
          <w:tcPr>
            <w:tcW w:w="1230" w:type="dxa"/>
            <w:vAlign w:val="center"/>
          </w:tcPr>
          <w:p>
            <w:pPr>
              <w:widowControl/>
              <w:jc w:val="center"/>
              <w:rPr>
                <w:rFonts w:hint="eastAsia" w:ascii="Times New Roman" w:hAnsi="Times New Roman" w:eastAsia="黑体" w:cs="Times New Roman"/>
                <w:kern w:val="0"/>
                <w:sz w:val="24"/>
                <w:lang w:val="en-US" w:eastAsia="zh-CN"/>
              </w:rPr>
            </w:pPr>
            <w:r>
              <w:rPr>
                <w:rFonts w:hint="eastAsia" w:ascii="Times New Roman" w:hAnsi="Times New Roman" w:eastAsia="黑体" w:cs="Times New Roman"/>
                <w:kern w:val="0"/>
                <w:sz w:val="24"/>
                <w:lang w:val="en-US" w:eastAsia="zh-CN"/>
              </w:rPr>
              <w:t>单位名称</w:t>
            </w:r>
          </w:p>
        </w:tc>
        <w:tc>
          <w:tcPr>
            <w:tcW w:w="1275" w:type="dxa"/>
            <w:vAlign w:val="center"/>
          </w:tcPr>
          <w:p>
            <w:pPr>
              <w:widowControl/>
              <w:jc w:val="center"/>
              <w:rPr>
                <w:rFonts w:hint="eastAsia" w:ascii="Times New Roman" w:hAnsi="Times New Roman" w:eastAsia="黑体" w:cs="Times New Roman"/>
                <w:kern w:val="0"/>
                <w:sz w:val="24"/>
                <w:lang w:val="en-US" w:eastAsia="zh-CN"/>
              </w:rPr>
            </w:pPr>
            <w:r>
              <w:rPr>
                <w:rFonts w:hint="eastAsia" w:eastAsia="黑体" w:cs="Times New Roman"/>
                <w:kern w:val="0"/>
                <w:sz w:val="24"/>
                <w:lang w:val="en-US" w:eastAsia="zh-CN"/>
              </w:rPr>
              <w:t>推荐单位</w:t>
            </w:r>
          </w:p>
        </w:tc>
        <w:tc>
          <w:tcPr>
            <w:tcW w:w="6315" w:type="dxa"/>
            <w:vAlign w:val="center"/>
          </w:tcPr>
          <w:p>
            <w:pPr>
              <w:widowControl/>
              <w:jc w:val="center"/>
              <w:rPr>
                <w:rFonts w:ascii="Times New Roman" w:hAnsi="Times New Roman" w:eastAsia="黑体" w:cs="Times New Roman"/>
                <w:kern w:val="0"/>
                <w:sz w:val="24"/>
              </w:rPr>
            </w:pPr>
            <w:r>
              <w:rPr>
                <w:rFonts w:hint="eastAsia" w:eastAsia="黑体" w:cs="Times New Roman"/>
                <w:kern w:val="0"/>
                <w:sz w:val="24"/>
                <w:lang w:val="en-US" w:eastAsia="zh-CN"/>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vAlign w:val="top"/>
          </w:tcPr>
          <w:p>
            <w:pPr>
              <w:spacing w:line="48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w:t>
            </w:r>
          </w:p>
        </w:tc>
        <w:tc>
          <w:tcPr>
            <w:tcW w:w="1230" w:type="dxa"/>
            <w:vAlign w:val="top"/>
          </w:tcPr>
          <w:p>
            <w:pPr>
              <w:spacing w:line="48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val="en-US" w:eastAsia="zh-CN"/>
              </w:rPr>
              <w:t>宁波航运交易所有限公司</w:t>
            </w:r>
          </w:p>
        </w:tc>
        <w:tc>
          <w:tcPr>
            <w:tcW w:w="1275" w:type="dxa"/>
            <w:vAlign w:val="top"/>
          </w:tcPr>
          <w:p>
            <w:pPr>
              <w:spacing w:line="48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kern w:val="0"/>
                <w:sz w:val="21"/>
                <w:szCs w:val="21"/>
                <w:lang w:val="en-US" w:eastAsia="zh-CN"/>
              </w:rPr>
              <w:t>市发改委</w:t>
            </w:r>
          </w:p>
        </w:tc>
        <w:tc>
          <w:tcPr>
            <w:tcW w:w="6315" w:type="dxa"/>
            <w:vAlign w:val="top"/>
          </w:tcPr>
          <w:p>
            <w:pPr>
              <w:spacing w:line="480" w:lineRule="exact"/>
              <w:ind w:firstLine="412" w:firstLineChars="200"/>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宁波航运交易所是浙江省参与国家“一带一路”建设重要的对外合作载体和交易服务平台。</w:t>
            </w:r>
            <w:r>
              <w:rPr>
                <w:rFonts w:hint="eastAsia" w:ascii="仿宋_GB2312" w:hAnsi="仿宋_GB2312" w:eastAsia="仿宋_GB2312" w:cs="仿宋_GB2312"/>
                <w:kern w:val="0"/>
                <w:sz w:val="21"/>
                <w:szCs w:val="21"/>
              </w:rPr>
              <w:t>作为国家重点项目“海上丝路指数”的承建单位，宁波航运交易所研究并发布了“海上丝路”系列指数，为国际航运和国际贸易企业提供信息参考和趋势判断，也为各国政府评估“一带一路”倡议实施效果和政策调整提供重要依据。海上丝路指数先后两次被列入国家“一带一路”重点工作和</w:t>
            </w:r>
            <w:r>
              <w:rPr>
                <w:rFonts w:hint="eastAsia" w:ascii="仿宋_GB2312" w:hAnsi="仿宋_GB2312" w:eastAsia="仿宋_GB2312" w:cs="仿宋_GB2312"/>
                <w:kern w:val="0"/>
                <w:sz w:val="21"/>
                <w:szCs w:val="21"/>
                <w:lang w:val="en-US" w:eastAsia="zh-CN"/>
              </w:rPr>
              <w:t>二届</w:t>
            </w:r>
            <w:r>
              <w:rPr>
                <w:rFonts w:hint="eastAsia" w:ascii="仿宋_GB2312" w:hAnsi="仿宋_GB2312" w:eastAsia="仿宋_GB2312" w:cs="仿宋_GB2312"/>
                <w:kern w:val="0"/>
                <w:sz w:val="21"/>
                <w:szCs w:val="21"/>
              </w:rPr>
              <w:t>“一带一路”国际合作高峰论坛成果清单，写入国家“十三五”规划纲要，并作为习主席访英成果</w:t>
            </w:r>
            <w:r>
              <w:rPr>
                <w:rFonts w:hint="eastAsia" w:ascii="仿宋_GB2312" w:hAnsi="仿宋_GB2312" w:eastAsia="仿宋_GB2312" w:cs="仿宋_GB2312"/>
                <w:kern w:val="0"/>
                <w:sz w:val="21"/>
                <w:szCs w:val="21"/>
                <w:lang w:val="en-US" w:eastAsia="zh-CN"/>
              </w:rPr>
              <w:t>之一</w:t>
            </w:r>
            <w:r>
              <w:rPr>
                <w:rFonts w:hint="eastAsia" w:ascii="仿宋_GB2312" w:hAnsi="仿宋_GB2312" w:eastAsia="仿宋_GB2312" w:cs="仿宋_GB2312"/>
                <w:kern w:val="0"/>
                <w:sz w:val="21"/>
                <w:szCs w:val="21"/>
              </w:rPr>
              <w:t>成功登陆波罗的海交易所</w:t>
            </w:r>
          </w:p>
          <w:p>
            <w:pPr>
              <w:spacing w:line="480" w:lineRule="exact"/>
              <w:jc w:val="both"/>
              <w:rPr>
                <w:rFonts w:hint="eastAsia" w:ascii="仿宋_GB2312" w:hAnsi="仿宋_GB2312" w:eastAsia="仿宋_GB2312" w:cs="仿宋_GB2312"/>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vAlign w:val="top"/>
          </w:tcPr>
          <w:p>
            <w:pPr>
              <w:spacing w:line="480" w:lineRule="exact"/>
              <w:jc w:val="center"/>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w:t>
            </w:r>
          </w:p>
        </w:tc>
        <w:tc>
          <w:tcPr>
            <w:tcW w:w="1230" w:type="dxa"/>
            <w:vAlign w:val="top"/>
          </w:tcPr>
          <w:p>
            <w:pPr>
              <w:spacing w:line="48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宁波进口商品展示交易中心有限公司</w:t>
            </w:r>
          </w:p>
        </w:tc>
        <w:tc>
          <w:tcPr>
            <w:tcW w:w="1275" w:type="dxa"/>
            <w:vAlign w:val="top"/>
          </w:tcPr>
          <w:p>
            <w:pPr>
              <w:spacing w:line="4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市</w:t>
            </w:r>
            <w:r>
              <w:rPr>
                <w:rFonts w:hint="eastAsia" w:ascii="仿宋_GB2312" w:hAnsi="仿宋_GB2312" w:cs="仿宋_GB2312"/>
                <w:kern w:val="0"/>
                <w:sz w:val="21"/>
                <w:szCs w:val="21"/>
                <w:lang w:val="en-US" w:eastAsia="zh-CN"/>
              </w:rPr>
              <w:t>商务</w:t>
            </w:r>
            <w:r>
              <w:rPr>
                <w:rFonts w:hint="eastAsia" w:ascii="仿宋_GB2312" w:hAnsi="仿宋_GB2312" w:eastAsia="仿宋_GB2312" w:cs="仿宋_GB2312"/>
                <w:kern w:val="0"/>
                <w:sz w:val="21"/>
                <w:szCs w:val="21"/>
                <w:lang w:val="en-US" w:eastAsia="zh-CN"/>
              </w:rPr>
              <w:t>局</w:t>
            </w:r>
          </w:p>
        </w:tc>
        <w:tc>
          <w:tcPr>
            <w:tcW w:w="6315" w:type="dxa"/>
            <w:vAlign w:val="top"/>
          </w:tcPr>
          <w:p>
            <w:pPr>
              <w:spacing w:line="480" w:lineRule="exact"/>
              <w:ind w:firstLine="412" w:firstLineChars="200"/>
              <w:jc w:val="both"/>
              <w:rPr>
                <w:kern w:val="0"/>
                <w:sz w:val="24"/>
              </w:rPr>
            </w:pPr>
            <w:r>
              <w:rPr>
                <w:rFonts w:hint="eastAsia" w:ascii="仿宋_GB2312" w:hAnsi="仿宋_GB2312" w:eastAsia="仿宋_GB2312" w:cs="仿宋_GB2312"/>
                <w:kern w:val="0"/>
                <w:sz w:val="21"/>
                <w:szCs w:val="21"/>
              </w:rPr>
              <w:t>宁波进口商品展示交易中心是宁波市政府推进进口贸易促进创新示范区和国际贸易示范区建设的重要阵地，是 “17+1”经贸合作示范区的重要组成部分。进口中心运营企业——宁波进口商品展示交易中心有限公司积极融入国家“一带一路”战略，深化与中东欧各国的全面合作,利用进口中心的平台优势，努力把宁波打造成为中东欧商品进入中国市场的首选之地，设立了中东欧国家特色商品常年展</w:t>
            </w:r>
            <w:r>
              <w:rPr>
                <w:rFonts w:hint="eastAsia" w:ascii="仿宋_GB2312" w:hAnsi="仿宋_GB2312" w:cs="仿宋_GB2312"/>
                <w:kern w:val="0"/>
                <w:sz w:val="21"/>
                <w:szCs w:val="21"/>
                <w:lang w:eastAsia="zh-CN"/>
              </w:rPr>
              <w:t>，</w:t>
            </w:r>
            <w:r>
              <w:rPr>
                <w:rFonts w:hint="eastAsia" w:ascii="仿宋_GB2312" w:hAnsi="仿宋_GB2312" w:eastAsia="仿宋_GB2312" w:cs="仿宋_GB2312"/>
                <w:kern w:val="0"/>
                <w:sz w:val="21"/>
                <w:szCs w:val="21"/>
              </w:rPr>
              <w:t>作为中国-中东欧国家投资贸易博览会的落地项目，于2015年6月8日在宁波进口商品中心正式亮相，由中东欧国家特色商品馆和国家特色馆两部分组成。经过5年多发展，常年展规模不断扩大，商品品类不断丰富，影响力不断增强，服务能级不断提升，已成为宁波打造“一带一路”枢纽城市闪亮的城市名片。</w:t>
            </w:r>
          </w:p>
          <w:p>
            <w:pPr>
              <w:spacing w:line="480" w:lineRule="exact"/>
              <w:jc w:val="both"/>
              <w:rPr>
                <w:rFonts w:hint="eastAsia" w:ascii="仿宋_GB2312" w:hAnsi="仿宋_GB2312" w:eastAsia="仿宋_GB2312" w:cs="仿宋_GB2312"/>
                <w:color w:val="000000"/>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right="0" w:rightChars="0"/>
        <w:jc w:val="left"/>
        <w:textAlignment w:val="auto"/>
        <w:outlineLvl w:val="9"/>
        <w:rPr>
          <w:rFonts w:hint="eastAsia" w:eastAsia="黑体" w:cs="Times New Roman"/>
          <w:bCs/>
          <w:sz w:val="32"/>
          <w:szCs w:val="32"/>
          <w:lang w:val="en-US" w:eastAsia="zh-CN"/>
        </w:rPr>
      </w:pPr>
    </w:p>
    <w:sectPr>
      <w:footerReference r:id="rId3" w:type="default"/>
      <w:pgSz w:w="11906" w:h="16838"/>
      <w:pgMar w:top="2098" w:right="1474" w:bottom="1985" w:left="1588"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dit="forms" w:enforcement="0"/>
  <w:defaultTabStop w:val="420"/>
  <w:hyphenationZone w:val="36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00.0.150:80/seeyon/officeservlet"/>
  </w:docVars>
  <w:rsids>
    <w:rsidRoot w:val="004835A4"/>
    <w:rsid w:val="00041932"/>
    <w:rsid w:val="0008195A"/>
    <w:rsid w:val="000F365A"/>
    <w:rsid w:val="0012063B"/>
    <w:rsid w:val="00161AD6"/>
    <w:rsid w:val="001C72A9"/>
    <w:rsid w:val="00206AA2"/>
    <w:rsid w:val="002A67CC"/>
    <w:rsid w:val="0031708F"/>
    <w:rsid w:val="00400942"/>
    <w:rsid w:val="004835A4"/>
    <w:rsid w:val="00647F33"/>
    <w:rsid w:val="006E7236"/>
    <w:rsid w:val="007649DC"/>
    <w:rsid w:val="008250B5"/>
    <w:rsid w:val="00885498"/>
    <w:rsid w:val="00893FEC"/>
    <w:rsid w:val="008D7067"/>
    <w:rsid w:val="008E6583"/>
    <w:rsid w:val="00976DED"/>
    <w:rsid w:val="009D7434"/>
    <w:rsid w:val="00A14098"/>
    <w:rsid w:val="00A41E28"/>
    <w:rsid w:val="00C758D1"/>
    <w:rsid w:val="00CD0F42"/>
    <w:rsid w:val="00CE617F"/>
    <w:rsid w:val="00CF1409"/>
    <w:rsid w:val="00DA5188"/>
    <w:rsid w:val="00E45B53"/>
    <w:rsid w:val="00E76EAD"/>
    <w:rsid w:val="00E83AAA"/>
    <w:rsid w:val="00EA160D"/>
    <w:rsid w:val="00ED7CBA"/>
    <w:rsid w:val="00F11278"/>
    <w:rsid w:val="00F52283"/>
    <w:rsid w:val="00F72C24"/>
    <w:rsid w:val="00FB1FD5"/>
    <w:rsid w:val="088A4179"/>
    <w:rsid w:val="0C3E6337"/>
    <w:rsid w:val="0E6C1E04"/>
    <w:rsid w:val="177952FD"/>
    <w:rsid w:val="1C720DD3"/>
    <w:rsid w:val="275C3796"/>
    <w:rsid w:val="28A105FD"/>
    <w:rsid w:val="3371132F"/>
    <w:rsid w:val="33C53D4B"/>
    <w:rsid w:val="357B1889"/>
    <w:rsid w:val="38E577F6"/>
    <w:rsid w:val="3ACC071E"/>
    <w:rsid w:val="472C6065"/>
    <w:rsid w:val="4EAA0F6F"/>
    <w:rsid w:val="636B7496"/>
    <w:rsid w:val="6736363D"/>
    <w:rsid w:val="688943DB"/>
    <w:rsid w:val="68EB7A59"/>
    <w:rsid w:val="69D2476E"/>
    <w:rsid w:val="6DFA62BF"/>
    <w:rsid w:val="6F7F131A"/>
    <w:rsid w:val="729D6294"/>
    <w:rsid w:val="73557842"/>
    <w:rsid w:val="78C74B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heme="minorHAnsi" w:hAnsiTheme="minorHAnsi" w:cstheme="minorBidi"/>
      <w:szCs w:val="22"/>
    </w:rPr>
  </w:style>
  <w:style w:type="paragraph" w:styleId="3">
    <w:name w:val="Body Text"/>
    <w:basedOn w:val="1"/>
    <w:qFormat/>
    <w:uiPriority w:val="99"/>
    <w:pPr>
      <w:autoSpaceDE w:val="0"/>
      <w:autoSpaceDN w:val="0"/>
      <w:ind w:left="106" w:leftChars="0"/>
      <w:jc w:val="left"/>
    </w:pPr>
    <w:rPr>
      <w:rFonts w:ascii="仿宋" w:hAnsi="Times New Roman" w:cs="仿宋"/>
      <w:kern w:val="0"/>
      <w:sz w:val="28"/>
      <w:szCs w:val="28"/>
    </w:rPr>
  </w:style>
  <w:style w:type="paragraph" w:styleId="4">
    <w:name w:val="Balloon Text"/>
    <w:basedOn w:val="1"/>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FollowedHyperlink"/>
    <w:basedOn w:val="9"/>
    <w:qFormat/>
    <w:uiPriority w:val="0"/>
    <w:rPr>
      <w:color w:val="3A4767"/>
      <w:u w:val="none"/>
    </w:rPr>
  </w:style>
  <w:style w:type="character" w:styleId="11">
    <w:name w:val="Hyperlink"/>
    <w:basedOn w:val="9"/>
    <w:qFormat/>
    <w:uiPriority w:val="0"/>
    <w:rPr>
      <w:color w:val="3A4767"/>
      <w:u w:val="none"/>
    </w:rPr>
  </w:style>
  <w:style w:type="paragraph" w:customStyle="1" w:styleId="12">
    <w:name w:val="Char Char Char Char"/>
    <w:basedOn w:val="1"/>
    <w:qFormat/>
    <w:uiPriority w:val="0"/>
    <w:rPr>
      <w:rFonts w:ascii="仿宋_GB2312"/>
      <w:b/>
    </w:rPr>
  </w:style>
  <w:style w:type="character" w:customStyle="1" w:styleId="13">
    <w:name w:val="页眉 Char"/>
    <w:link w:val="6"/>
    <w:qFormat/>
    <w:uiPriority w:val="0"/>
    <w:rPr>
      <w:rFonts w:eastAsia="仿宋_GB2312"/>
      <w:kern w:val="2"/>
      <w:sz w:val="18"/>
      <w:szCs w:val="18"/>
    </w:rPr>
  </w:style>
  <w:style w:type="character" w:customStyle="1" w:styleId="14">
    <w:name w:val="页脚 Char"/>
    <w:link w:val="5"/>
    <w:qFormat/>
    <w:uiPriority w:val="0"/>
    <w:rPr>
      <w:rFonts w:eastAsia="仿宋_GB2312"/>
      <w:kern w:val="2"/>
      <w:sz w:val="18"/>
      <w:szCs w:val="18"/>
    </w:rPr>
  </w:style>
  <w:style w:type="paragraph" w:customStyle="1" w:styleId="15">
    <w:name w:val="列出段落1"/>
    <w:basedOn w:val="1"/>
    <w:qFormat/>
    <w:uiPriority w:val="34"/>
    <w:pPr>
      <w:ind w:firstLine="420" w:firstLineChars="200"/>
    </w:pPr>
    <w:rPr>
      <w:rFonts w:asciiTheme="minorHAnsi" w:hAnsiTheme="minorHAnsi" w:cstheme="minorBidi"/>
      <w:szCs w:val="22"/>
    </w:rPr>
  </w:style>
  <w:style w:type="character" w:customStyle="1" w:styleId="16">
    <w:name w:val="first-child"/>
    <w:basedOn w:val="9"/>
    <w:qFormat/>
    <w:uiPriority w:val="0"/>
  </w:style>
  <w:style w:type="character" w:customStyle="1" w:styleId="17">
    <w:name w:val="layui-this"/>
    <w:basedOn w:val="9"/>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qib</dc:creator>
  <cp:lastModifiedBy>净净</cp:lastModifiedBy>
  <cp:lastPrinted>2020-12-25T03:23:00Z</cp:lastPrinted>
  <dcterms:modified xsi:type="dcterms:W3CDTF">2021-01-18T02:26:57Z</dcterms:modified>
  <dc:title>浙江省推进“一带一路”建设工作领导小组办公室</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