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rPr>
          <w:rFonts w:hint="eastAsia" w:ascii="黑体" w:hAnsi="黑体" w:eastAsia="黑体"/>
          <w:sz w:val="32"/>
          <w:szCs w:val="32"/>
        </w:rPr>
        <w:t>附件2</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kern w:val="0"/>
          <w:sz w:val="44"/>
          <w:szCs w:val="44"/>
          <w:lang w:eastAsia="zh-CN"/>
        </w:rPr>
      </w:pPr>
      <w:r>
        <w:rPr>
          <w:rFonts w:hint="eastAsia" w:ascii="方正小标宋简体" w:hAnsi="方正小标宋简体" w:eastAsia="方正小标宋简体" w:cs="方正小标宋简体"/>
          <w:kern w:val="0"/>
          <w:sz w:val="44"/>
          <w:szCs w:val="44"/>
          <w:lang w:val="en-US" w:eastAsia="zh-CN"/>
        </w:rPr>
        <w:t>2020</w:t>
      </w:r>
      <w:r>
        <w:rPr>
          <w:rFonts w:hint="eastAsia" w:ascii="方正小标宋简体" w:hAnsi="方正小标宋简体" w:eastAsia="方正小标宋简体" w:cs="方正小标宋简体"/>
          <w:kern w:val="0"/>
          <w:sz w:val="44"/>
          <w:szCs w:val="44"/>
        </w:rPr>
        <w:t>年市级合同能源</w:t>
      </w:r>
      <w:r>
        <w:rPr>
          <w:rFonts w:hint="eastAsia" w:ascii="方正小标宋简体" w:hAnsi="方正小标宋简体" w:eastAsia="方正小标宋简体" w:cs="方正小标宋简体"/>
          <w:kern w:val="0"/>
          <w:sz w:val="44"/>
          <w:szCs w:val="44"/>
          <w:lang w:val="en-US" w:eastAsia="zh-CN"/>
        </w:rPr>
        <w:t>管理</w:t>
      </w:r>
      <w:r>
        <w:rPr>
          <w:rFonts w:hint="eastAsia" w:ascii="方正小标宋简体" w:hAnsi="方正小标宋简体" w:eastAsia="方正小标宋简体" w:cs="方正小标宋简体"/>
          <w:kern w:val="0"/>
          <w:sz w:val="44"/>
          <w:szCs w:val="44"/>
        </w:rPr>
        <w:t>项目</w:t>
      </w:r>
      <w:r>
        <w:rPr>
          <w:rFonts w:hint="eastAsia" w:ascii="方正小标宋简体" w:hAnsi="方正小标宋简体" w:eastAsia="方正小标宋简体" w:cs="方正小标宋简体"/>
          <w:kern w:val="0"/>
          <w:sz w:val="44"/>
          <w:szCs w:val="44"/>
          <w:lang w:eastAsia="zh-CN"/>
        </w:rPr>
        <w:t>（</w:t>
      </w:r>
      <w:r>
        <w:rPr>
          <w:rFonts w:hint="eastAsia" w:ascii="方正小标宋简体" w:hAnsi="方正小标宋简体" w:eastAsia="方正小标宋简体" w:cs="方正小标宋简体"/>
          <w:kern w:val="0"/>
          <w:sz w:val="44"/>
          <w:szCs w:val="44"/>
          <w:lang w:val="en-US" w:eastAsia="zh-CN"/>
        </w:rPr>
        <w:t>第一批</w:t>
      </w:r>
      <w:r>
        <w:rPr>
          <w:rFonts w:hint="eastAsia" w:ascii="方正小标宋简体" w:hAnsi="方正小标宋简体" w:eastAsia="方正小标宋简体" w:cs="方正小标宋简体"/>
          <w:kern w:val="0"/>
          <w:sz w:val="44"/>
          <w:szCs w:val="44"/>
          <w:lang w:eastAsia="zh-CN"/>
        </w:rPr>
        <w:t>）</w:t>
      </w:r>
    </w:p>
    <w:p>
      <w:pPr>
        <w:keepNext w:val="0"/>
        <w:keepLines w:val="0"/>
        <w:pageBreakBefore w:val="0"/>
        <w:widowControl/>
        <w:kinsoku/>
        <w:wordWrap/>
        <w:overflowPunct/>
        <w:topLinePunct w:val="0"/>
        <w:autoSpaceDE/>
        <w:autoSpaceDN/>
        <w:bidi w:val="0"/>
        <w:adjustRightInd/>
        <w:snapToGrid/>
        <w:spacing w:after="157" w:afterLines="50" w:line="640" w:lineRule="exact"/>
        <w:jc w:val="center"/>
        <w:textAlignment w:val="auto"/>
        <w:outlineLvl w:val="9"/>
        <w:rPr>
          <w:rFonts w:hint="eastAsia" w:ascii="方正小标宋简体" w:hAnsi="方正小标宋简体" w:eastAsia="方正小标宋简体" w:cs="方正小标宋简体"/>
          <w:kern w:val="0"/>
          <w:sz w:val="44"/>
          <w:szCs w:val="44"/>
          <w:lang w:val="en-US" w:eastAsia="zh-CN"/>
        </w:rPr>
      </w:pPr>
      <w:r>
        <w:rPr>
          <w:rFonts w:hint="eastAsia" w:ascii="方正小标宋简体" w:hAnsi="方正小标宋简体" w:eastAsia="方正小标宋简体" w:cs="方正小标宋简体"/>
          <w:kern w:val="0"/>
          <w:sz w:val="44"/>
          <w:szCs w:val="44"/>
          <w:lang w:val="en-US" w:eastAsia="zh-CN"/>
        </w:rPr>
        <w:t>审核情况</w:t>
      </w:r>
    </w:p>
    <w:tbl>
      <w:tblPr>
        <w:tblStyle w:val="5"/>
        <w:tblW w:w="9342"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700"/>
        <w:gridCol w:w="1796"/>
        <w:gridCol w:w="2550"/>
        <w:gridCol w:w="1605"/>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blHeader/>
        </w:trPr>
        <w:tc>
          <w:tcPr>
            <w:tcW w:w="666" w:type="dxa"/>
            <w:vAlign w:val="center"/>
          </w:tcPr>
          <w:p>
            <w:pPr>
              <w:widowControl/>
              <w:spacing w:line="300" w:lineRule="exact"/>
              <w:jc w:val="center"/>
              <w:rPr>
                <w:rFonts w:ascii="黑体" w:hAnsi="黑体" w:eastAsia="黑体" w:cs="宋体"/>
                <w:color w:val="000000"/>
                <w:kern w:val="0"/>
                <w:sz w:val="22"/>
              </w:rPr>
            </w:pPr>
            <w:r>
              <w:rPr>
                <w:rFonts w:hint="eastAsia" w:ascii="黑体" w:hAnsi="黑体" w:eastAsia="黑体" w:cs="宋体"/>
                <w:color w:val="000000"/>
                <w:kern w:val="0"/>
                <w:sz w:val="22"/>
              </w:rPr>
              <w:t>序号</w:t>
            </w:r>
          </w:p>
        </w:tc>
        <w:tc>
          <w:tcPr>
            <w:tcW w:w="700" w:type="dxa"/>
            <w:vAlign w:val="center"/>
          </w:tcPr>
          <w:p>
            <w:pPr>
              <w:widowControl/>
              <w:spacing w:line="300" w:lineRule="exact"/>
              <w:jc w:val="center"/>
              <w:rPr>
                <w:rFonts w:ascii="黑体" w:hAnsi="黑体" w:eastAsia="黑体" w:cs="宋体"/>
                <w:color w:val="000000"/>
                <w:kern w:val="0"/>
                <w:sz w:val="22"/>
              </w:rPr>
            </w:pPr>
            <w:r>
              <w:rPr>
                <w:rFonts w:hint="eastAsia" w:ascii="黑体" w:hAnsi="黑体" w:eastAsia="黑体" w:cs="宋体"/>
                <w:color w:val="000000"/>
                <w:kern w:val="0"/>
                <w:sz w:val="22"/>
              </w:rPr>
              <w:t>地区</w:t>
            </w:r>
          </w:p>
        </w:tc>
        <w:tc>
          <w:tcPr>
            <w:tcW w:w="1796" w:type="dxa"/>
            <w:vAlign w:val="center"/>
          </w:tcPr>
          <w:p>
            <w:pPr>
              <w:widowControl/>
              <w:spacing w:line="300" w:lineRule="exact"/>
              <w:jc w:val="center"/>
              <w:rPr>
                <w:rFonts w:ascii="黑体" w:hAnsi="黑体" w:eastAsia="黑体" w:cs="宋体"/>
                <w:color w:val="000000"/>
                <w:kern w:val="0"/>
                <w:sz w:val="22"/>
              </w:rPr>
            </w:pPr>
            <w:r>
              <w:rPr>
                <w:rFonts w:hint="eastAsia" w:ascii="黑体" w:hAnsi="黑体" w:eastAsia="黑体" w:cs="宋体"/>
                <w:color w:val="000000"/>
                <w:kern w:val="0"/>
                <w:sz w:val="22"/>
              </w:rPr>
              <w:t>节能服务公司</w:t>
            </w:r>
          </w:p>
        </w:tc>
        <w:tc>
          <w:tcPr>
            <w:tcW w:w="2550" w:type="dxa"/>
            <w:vAlign w:val="center"/>
          </w:tcPr>
          <w:p>
            <w:pPr>
              <w:widowControl/>
              <w:spacing w:line="300" w:lineRule="exact"/>
              <w:jc w:val="center"/>
              <w:rPr>
                <w:rFonts w:ascii="黑体" w:hAnsi="黑体" w:eastAsia="黑体" w:cs="宋体"/>
                <w:color w:val="000000"/>
                <w:kern w:val="0"/>
                <w:sz w:val="22"/>
              </w:rPr>
            </w:pPr>
            <w:r>
              <w:rPr>
                <w:rFonts w:hint="eastAsia" w:ascii="黑体" w:hAnsi="黑体" w:eastAsia="黑体" w:cs="宋体"/>
                <w:color w:val="000000"/>
                <w:kern w:val="0"/>
                <w:sz w:val="22"/>
              </w:rPr>
              <w:t>改造单位及项目名称</w:t>
            </w:r>
          </w:p>
        </w:tc>
        <w:tc>
          <w:tcPr>
            <w:tcW w:w="1605" w:type="dxa"/>
            <w:vAlign w:val="center"/>
          </w:tcPr>
          <w:p>
            <w:pPr>
              <w:widowControl/>
              <w:spacing w:line="300" w:lineRule="exact"/>
              <w:jc w:val="center"/>
              <w:rPr>
                <w:rFonts w:hint="eastAsia" w:ascii="黑体" w:hAnsi="黑体" w:eastAsia="黑体" w:cs="宋体"/>
                <w:kern w:val="0"/>
                <w:sz w:val="22"/>
              </w:rPr>
            </w:pPr>
            <w:r>
              <w:rPr>
                <w:rFonts w:hint="eastAsia" w:ascii="黑体" w:hAnsi="黑体" w:eastAsia="黑体" w:cs="宋体"/>
                <w:kern w:val="0"/>
                <w:sz w:val="22"/>
              </w:rPr>
              <w:t>核实投资额</w:t>
            </w:r>
          </w:p>
          <w:p>
            <w:pPr>
              <w:widowControl/>
              <w:spacing w:line="300" w:lineRule="exact"/>
              <w:jc w:val="center"/>
              <w:rPr>
                <w:rFonts w:ascii="黑体" w:hAnsi="黑体" w:eastAsia="黑体" w:cs="宋体"/>
                <w:kern w:val="0"/>
                <w:sz w:val="22"/>
              </w:rPr>
            </w:pPr>
            <w:r>
              <w:rPr>
                <w:rFonts w:hint="eastAsia" w:ascii="黑体" w:hAnsi="黑体" w:eastAsia="黑体" w:cs="宋体"/>
                <w:kern w:val="0"/>
                <w:sz w:val="22"/>
              </w:rPr>
              <w:t>（万元）</w:t>
            </w:r>
          </w:p>
        </w:tc>
        <w:tc>
          <w:tcPr>
            <w:tcW w:w="2025" w:type="dxa"/>
            <w:vAlign w:val="center"/>
          </w:tcPr>
          <w:p>
            <w:pPr>
              <w:widowControl/>
              <w:spacing w:line="300" w:lineRule="exact"/>
              <w:jc w:val="center"/>
              <w:rPr>
                <w:rFonts w:ascii="黑体" w:hAnsi="黑体" w:eastAsia="黑体" w:cs="宋体"/>
                <w:kern w:val="0"/>
                <w:sz w:val="22"/>
              </w:rPr>
            </w:pPr>
            <w:r>
              <w:rPr>
                <w:rFonts w:hint="eastAsia" w:ascii="黑体" w:hAnsi="黑体" w:eastAsia="黑体" w:cs="宋体"/>
                <w:kern w:val="0"/>
                <w:sz w:val="22"/>
              </w:rPr>
              <w:t>核实节能量</w:t>
            </w:r>
          </w:p>
          <w:p>
            <w:pPr>
              <w:widowControl/>
              <w:spacing w:line="300" w:lineRule="exact"/>
              <w:jc w:val="center"/>
              <w:rPr>
                <w:rFonts w:ascii="黑体" w:hAnsi="黑体" w:eastAsia="黑体" w:cs="宋体"/>
                <w:kern w:val="0"/>
                <w:sz w:val="22"/>
              </w:rPr>
            </w:pPr>
            <w:r>
              <w:rPr>
                <w:rFonts w:hint="eastAsia" w:ascii="黑体" w:hAnsi="黑体" w:eastAsia="黑体" w:cs="宋体"/>
                <w:kern w:val="0"/>
                <w:sz w:val="22"/>
              </w:rPr>
              <w:t>（吨标煤）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666" w:type="dxa"/>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700" w:type="dxa"/>
            <w:vAlign w:val="center"/>
          </w:tcPr>
          <w:p>
            <w:pPr>
              <w:keepNext w:val="0"/>
              <w:keepLines w:val="0"/>
              <w:widowControl/>
              <w:suppressLineNumbers w:val="0"/>
              <w:jc w:val="left"/>
              <w:textAlignment w:val="center"/>
              <w:rPr>
                <w:rFonts w:ascii="仿宋_GB2312" w:hAnsi="宋体" w:eastAsia="仿宋_GB2312" w:cs="宋体"/>
                <w:sz w:val="22"/>
              </w:rPr>
            </w:pPr>
            <w:r>
              <w:rPr>
                <w:rFonts w:hint="eastAsia" w:ascii="仿宋_GB2312" w:hAnsi="宋体" w:eastAsia="仿宋_GB2312" w:cs="仿宋_GB2312"/>
                <w:i w:val="0"/>
                <w:color w:val="000000"/>
                <w:kern w:val="0"/>
                <w:sz w:val="22"/>
                <w:szCs w:val="22"/>
                <w:u w:val="none"/>
                <w:lang w:val="en-US" w:eastAsia="zh-CN" w:bidi="ar"/>
              </w:rPr>
              <w:t>鄞州</w:t>
            </w:r>
          </w:p>
        </w:tc>
        <w:tc>
          <w:tcPr>
            <w:tcW w:w="1796" w:type="dxa"/>
            <w:vAlign w:val="center"/>
          </w:tcPr>
          <w:p>
            <w:pPr>
              <w:keepNext w:val="0"/>
              <w:keepLines w:val="0"/>
              <w:widowControl/>
              <w:suppressLineNumbers w:val="0"/>
              <w:jc w:val="left"/>
              <w:textAlignment w:val="center"/>
              <w:rPr>
                <w:rFonts w:ascii="仿宋_GB2312" w:hAnsi="宋体" w:eastAsia="仿宋_GB2312" w:cs="宋体"/>
                <w:sz w:val="22"/>
              </w:rPr>
            </w:pPr>
            <w:r>
              <w:rPr>
                <w:rFonts w:hint="eastAsia" w:ascii="仿宋_GB2312" w:hAnsi="宋体" w:eastAsia="仿宋_GB2312" w:cs="仿宋_GB2312"/>
                <w:i w:val="0"/>
                <w:color w:val="000000"/>
                <w:kern w:val="0"/>
                <w:sz w:val="22"/>
                <w:szCs w:val="22"/>
                <w:u w:val="none"/>
                <w:lang w:val="en-US" w:eastAsia="zh-CN" w:bidi="ar"/>
              </w:rPr>
              <w:t>宁波生迪环境科技有限公司</w:t>
            </w:r>
          </w:p>
        </w:tc>
        <w:tc>
          <w:tcPr>
            <w:tcW w:w="2550" w:type="dxa"/>
            <w:vAlign w:val="center"/>
          </w:tcPr>
          <w:p>
            <w:pPr>
              <w:keepNext w:val="0"/>
              <w:keepLines w:val="0"/>
              <w:widowControl/>
              <w:suppressLineNumbers w:val="0"/>
              <w:jc w:val="left"/>
              <w:textAlignment w:val="center"/>
              <w:rPr>
                <w:rFonts w:ascii="仿宋_GB2312" w:hAnsi="宋体" w:eastAsia="仿宋_GB2312" w:cs="宋体"/>
                <w:sz w:val="22"/>
              </w:rPr>
            </w:pPr>
            <w:r>
              <w:rPr>
                <w:rFonts w:hint="eastAsia" w:ascii="仿宋_GB2312" w:hAnsi="宋体" w:eastAsia="仿宋_GB2312" w:cs="仿宋_GB2312"/>
                <w:i w:val="0"/>
                <w:color w:val="000000"/>
                <w:kern w:val="0"/>
                <w:sz w:val="22"/>
                <w:szCs w:val="22"/>
                <w:u w:val="none"/>
                <w:lang w:val="en-US" w:eastAsia="zh-CN" w:bidi="ar"/>
              </w:rPr>
              <w:t>宁波市江北区城市公共照明设施管理中心的江北道路照明合同能源管理项目</w:t>
            </w:r>
          </w:p>
        </w:tc>
        <w:tc>
          <w:tcPr>
            <w:tcW w:w="1605" w:type="dxa"/>
            <w:vAlign w:val="center"/>
          </w:tcPr>
          <w:p>
            <w:pPr>
              <w:keepNext w:val="0"/>
              <w:keepLines w:val="0"/>
              <w:widowControl/>
              <w:suppressLineNumbers w:val="0"/>
              <w:jc w:val="center"/>
              <w:textAlignment w:val="center"/>
              <w:rPr>
                <w:rFonts w:hint="eastAsia" w:ascii="仿宋_GB2312" w:hAnsi="宋体" w:eastAsia="仿宋_GB2312" w:cs="仿宋_GB2312"/>
                <w:color w:val="auto"/>
                <w:kern w:val="0"/>
                <w:sz w:val="22"/>
              </w:rPr>
            </w:pPr>
            <w:r>
              <w:rPr>
                <w:rFonts w:hint="eastAsia" w:ascii="仿宋_GB2312" w:hAnsi="宋体" w:eastAsia="仿宋_GB2312" w:cs="仿宋_GB2312"/>
                <w:i w:val="0"/>
                <w:color w:val="auto"/>
                <w:kern w:val="0"/>
                <w:sz w:val="22"/>
                <w:szCs w:val="22"/>
                <w:u w:val="none"/>
                <w:lang w:val="en-US" w:eastAsia="zh-CN" w:bidi="ar"/>
              </w:rPr>
              <w:t>406.79</w:t>
            </w:r>
          </w:p>
        </w:tc>
        <w:tc>
          <w:tcPr>
            <w:tcW w:w="2025" w:type="dxa"/>
            <w:vAlign w:val="center"/>
          </w:tcPr>
          <w:p>
            <w:pPr>
              <w:keepNext w:val="0"/>
              <w:keepLines w:val="0"/>
              <w:widowControl/>
              <w:suppressLineNumbers w:val="0"/>
              <w:jc w:val="center"/>
              <w:textAlignment w:val="center"/>
              <w:rPr>
                <w:rFonts w:ascii="仿宋_GB2312" w:hAnsi="宋体" w:eastAsia="仿宋_GB2312" w:cs="宋体"/>
                <w:color w:val="auto"/>
                <w:sz w:val="22"/>
              </w:rPr>
            </w:pPr>
            <w:r>
              <w:rPr>
                <w:rFonts w:hint="eastAsia" w:ascii="仿宋_GB2312" w:hAnsi="宋体" w:eastAsia="仿宋_GB2312" w:cs="仿宋_GB2312"/>
                <w:i w:val="0"/>
                <w:color w:val="auto"/>
                <w:kern w:val="0"/>
                <w:sz w:val="22"/>
                <w:szCs w:val="22"/>
                <w:u w:val="none"/>
                <w:lang w:val="en-US" w:eastAsia="zh-CN" w:bidi="ar"/>
              </w:rPr>
              <w:t xml:space="preserve">1577.42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66" w:type="dxa"/>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2</w:t>
            </w:r>
          </w:p>
        </w:tc>
        <w:tc>
          <w:tcPr>
            <w:tcW w:w="700" w:type="dxa"/>
            <w:vAlign w:val="center"/>
          </w:tcPr>
          <w:p>
            <w:pPr>
              <w:keepNext w:val="0"/>
              <w:keepLines w:val="0"/>
              <w:widowControl/>
              <w:suppressLineNumbers w:val="0"/>
              <w:jc w:val="center"/>
              <w:textAlignment w:val="center"/>
              <w:rPr>
                <w:rFonts w:ascii="仿宋_GB2312" w:hAnsi="宋体" w:eastAsia="仿宋_GB2312" w:cs="宋体"/>
                <w:sz w:val="22"/>
              </w:rPr>
            </w:pPr>
            <w:r>
              <w:rPr>
                <w:rFonts w:hint="eastAsia" w:ascii="仿宋_GB2312" w:hAnsi="宋体" w:eastAsia="仿宋_GB2312" w:cs="仿宋_GB2312"/>
                <w:i w:val="0"/>
                <w:color w:val="000000"/>
                <w:kern w:val="0"/>
                <w:sz w:val="22"/>
                <w:szCs w:val="22"/>
                <w:u w:val="none"/>
                <w:lang w:val="en-US" w:eastAsia="zh-CN" w:bidi="ar"/>
              </w:rPr>
              <w:t>海曙</w:t>
            </w:r>
          </w:p>
        </w:tc>
        <w:tc>
          <w:tcPr>
            <w:tcW w:w="1796" w:type="dxa"/>
            <w:vAlign w:val="center"/>
          </w:tcPr>
          <w:p>
            <w:pPr>
              <w:keepNext w:val="0"/>
              <w:keepLines w:val="0"/>
              <w:widowControl/>
              <w:suppressLineNumbers w:val="0"/>
              <w:jc w:val="left"/>
              <w:textAlignment w:val="center"/>
              <w:rPr>
                <w:rFonts w:ascii="仿宋_GB2312" w:hAnsi="宋体" w:eastAsia="仿宋_GB2312" w:cs="宋体"/>
                <w:sz w:val="22"/>
              </w:rPr>
            </w:pPr>
            <w:r>
              <w:rPr>
                <w:rFonts w:hint="eastAsia" w:ascii="仿宋_GB2312" w:hAnsi="宋体" w:eastAsia="仿宋_GB2312" w:cs="仿宋_GB2312"/>
                <w:i w:val="0"/>
                <w:color w:val="000000"/>
                <w:kern w:val="0"/>
                <w:sz w:val="22"/>
                <w:szCs w:val="22"/>
                <w:u w:val="none"/>
                <w:lang w:val="en-US" w:eastAsia="zh-CN" w:bidi="ar"/>
              </w:rPr>
              <w:t>宁波市科新节能技术有限公司</w:t>
            </w:r>
          </w:p>
        </w:tc>
        <w:tc>
          <w:tcPr>
            <w:tcW w:w="2550" w:type="dxa"/>
            <w:vAlign w:val="center"/>
          </w:tcPr>
          <w:p>
            <w:pPr>
              <w:keepNext w:val="0"/>
              <w:keepLines w:val="0"/>
              <w:widowControl/>
              <w:suppressLineNumbers w:val="0"/>
              <w:jc w:val="left"/>
              <w:textAlignment w:val="center"/>
              <w:rPr>
                <w:rFonts w:ascii="仿宋_GB2312" w:hAnsi="宋体" w:eastAsia="仿宋_GB2312" w:cs="宋体"/>
                <w:sz w:val="22"/>
              </w:rPr>
            </w:pPr>
            <w:r>
              <w:rPr>
                <w:rFonts w:hint="eastAsia" w:ascii="仿宋_GB2312" w:hAnsi="宋体" w:eastAsia="仿宋_GB2312" w:cs="仿宋_GB2312"/>
                <w:i w:val="0"/>
                <w:color w:val="000000"/>
                <w:kern w:val="0"/>
                <w:sz w:val="22"/>
                <w:szCs w:val="22"/>
                <w:u w:val="none"/>
                <w:lang w:val="en-US" w:eastAsia="zh-CN" w:bidi="ar"/>
              </w:rPr>
              <w:t>宁波金发新材料有限公司的生产配套循环冷却水系统水泵节能改造</w:t>
            </w:r>
          </w:p>
        </w:tc>
        <w:tc>
          <w:tcPr>
            <w:tcW w:w="1605" w:type="dxa"/>
            <w:vAlign w:val="center"/>
          </w:tcPr>
          <w:p>
            <w:pPr>
              <w:keepNext w:val="0"/>
              <w:keepLines w:val="0"/>
              <w:widowControl/>
              <w:suppressLineNumbers w:val="0"/>
              <w:jc w:val="center"/>
              <w:textAlignment w:val="center"/>
              <w:rPr>
                <w:rFonts w:hint="eastAsia" w:ascii="仿宋_GB2312" w:hAnsi="宋体" w:eastAsia="仿宋_GB2312" w:cs="仿宋_GB2312"/>
                <w:color w:val="auto"/>
                <w:kern w:val="0"/>
                <w:sz w:val="22"/>
              </w:rPr>
            </w:pPr>
            <w:r>
              <w:rPr>
                <w:rFonts w:hint="eastAsia" w:ascii="仿宋_GB2312" w:hAnsi="宋体" w:eastAsia="仿宋_GB2312" w:cs="仿宋_GB2312"/>
                <w:i w:val="0"/>
                <w:color w:val="auto"/>
                <w:kern w:val="0"/>
                <w:sz w:val="22"/>
                <w:szCs w:val="22"/>
                <w:u w:val="none"/>
                <w:lang w:val="en-US" w:eastAsia="zh-CN" w:bidi="ar"/>
              </w:rPr>
              <w:t xml:space="preserve">90.24 </w:t>
            </w:r>
          </w:p>
        </w:tc>
        <w:tc>
          <w:tcPr>
            <w:tcW w:w="2025" w:type="dxa"/>
            <w:vAlign w:val="center"/>
          </w:tcPr>
          <w:p>
            <w:pPr>
              <w:keepNext w:val="0"/>
              <w:keepLines w:val="0"/>
              <w:widowControl/>
              <w:suppressLineNumbers w:val="0"/>
              <w:jc w:val="center"/>
              <w:textAlignment w:val="center"/>
              <w:rPr>
                <w:rFonts w:ascii="仿宋_GB2312" w:hAnsi="宋体" w:eastAsia="仿宋_GB2312" w:cs="宋体"/>
                <w:color w:val="auto"/>
                <w:sz w:val="24"/>
                <w:szCs w:val="24"/>
              </w:rPr>
            </w:pPr>
            <w:r>
              <w:rPr>
                <w:rFonts w:hint="eastAsia" w:ascii="仿宋_GB2312" w:hAnsi="宋体" w:eastAsia="仿宋_GB2312" w:cs="仿宋_GB2312"/>
                <w:i w:val="0"/>
                <w:color w:val="auto"/>
                <w:kern w:val="0"/>
                <w:sz w:val="22"/>
                <w:szCs w:val="22"/>
                <w:u w:val="none"/>
                <w:lang w:val="en-US" w:eastAsia="zh-CN" w:bidi="ar"/>
              </w:rPr>
              <w:t xml:space="preserve">1887.50 </w:t>
            </w:r>
          </w:p>
        </w:tc>
      </w:tr>
    </w:tbl>
    <w:p>
      <w:pPr>
        <w:spacing w:line="560" w:lineRule="exact"/>
        <w:jc w:val="both"/>
        <w:rPr>
          <w:rFonts w:hint="eastAsia" w:ascii="方正小标宋简体" w:hAnsi="方正小标宋简体" w:eastAsia="楷体_GB2312" w:cs="方正小标宋简体"/>
          <w:bCs/>
          <w:sz w:val="44"/>
          <w:szCs w:val="44"/>
          <w:lang w:val="en-US" w:eastAsia="zh-CN"/>
        </w:rPr>
      </w:pPr>
    </w:p>
    <w:p>
      <w:pPr>
        <w:spacing w:line="560" w:lineRule="exact"/>
        <w:jc w:val="center"/>
        <w:rPr>
          <w:rFonts w:ascii="方正小标宋简体" w:hAnsi="方正小标宋简体" w:eastAsia="方正小标宋简体" w:cs="方正小标宋简体"/>
          <w:bCs/>
          <w:sz w:val="44"/>
          <w:szCs w:val="44"/>
        </w:rPr>
      </w:pP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IDFont + F2">
    <w:altName w:val="Segoe Print"/>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968501"/>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05"/>
    <w:rsid w:val="000027FC"/>
    <w:rsid w:val="000104F5"/>
    <w:rsid w:val="00011CAB"/>
    <w:rsid w:val="00025CBE"/>
    <w:rsid w:val="00057874"/>
    <w:rsid w:val="00063FDD"/>
    <w:rsid w:val="00070A04"/>
    <w:rsid w:val="00074779"/>
    <w:rsid w:val="000C2903"/>
    <w:rsid w:val="00144B6C"/>
    <w:rsid w:val="0014539A"/>
    <w:rsid w:val="00162EEA"/>
    <w:rsid w:val="0016466A"/>
    <w:rsid w:val="00195890"/>
    <w:rsid w:val="001C11D0"/>
    <w:rsid w:val="001C6353"/>
    <w:rsid w:val="002371CF"/>
    <w:rsid w:val="00271E3F"/>
    <w:rsid w:val="0028037E"/>
    <w:rsid w:val="00284EAC"/>
    <w:rsid w:val="002B5E6E"/>
    <w:rsid w:val="002C3E82"/>
    <w:rsid w:val="002E7602"/>
    <w:rsid w:val="003038B5"/>
    <w:rsid w:val="00325A89"/>
    <w:rsid w:val="0032712B"/>
    <w:rsid w:val="00336CCE"/>
    <w:rsid w:val="003D3871"/>
    <w:rsid w:val="003E0B01"/>
    <w:rsid w:val="004049F2"/>
    <w:rsid w:val="00426598"/>
    <w:rsid w:val="00431EAC"/>
    <w:rsid w:val="00452689"/>
    <w:rsid w:val="00474EEA"/>
    <w:rsid w:val="00494335"/>
    <w:rsid w:val="004A7BA8"/>
    <w:rsid w:val="004D275A"/>
    <w:rsid w:val="004D315D"/>
    <w:rsid w:val="004D3332"/>
    <w:rsid w:val="004D50F2"/>
    <w:rsid w:val="00503F4F"/>
    <w:rsid w:val="00544479"/>
    <w:rsid w:val="00550E50"/>
    <w:rsid w:val="005519FC"/>
    <w:rsid w:val="00577AAD"/>
    <w:rsid w:val="005846F2"/>
    <w:rsid w:val="005B041E"/>
    <w:rsid w:val="005C6D87"/>
    <w:rsid w:val="005E7696"/>
    <w:rsid w:val="005F16F3"/>
    <w:rsid w:val="00602718"/>
    <w:rsid w:val="00623393"/>
    <w:rsid w:val="0064062D"/>
    <w:rsid w:val="00643ECD"/>
    <w:rsid w:val="00653422"/>
    <w:rsid w:val="006C3C18"/>
    <w:rsid w:val="006D6A6A"/>
    <w:rsid w:val="006F1405"/>
    <w:rsid w:val="006F2D80"/>
    <w:rsid w:val="00705389"/>
    <w:rsid w:val="00713849"/>
    <w:rsid w:val="00717B65"/>
    <w:rsid w:val="00741B3C"/>
    <w:rsid w:val="00782F2F"/>
    <w:rsid w:val="007876B3"/>
    <w:rsid w:val="007C44B9"/>
    <w:rsid w:val="007D5AE8"/>
    <w:rsid w:val="007F2282"/>
    <w:rsid w:val="007F5CA1"/>
    <w:rsid w:val="00812C03"/>
    <w:rsid w:val="008134F1"/>
    <w:rsid w:val="00815B8D"/>
    <w:rsid w:val="0082219F"/>
    <w:rsid w:val="008311FA"/>
    <w:rsid w:val="008344B5"/>
    <w:rsid w:val="0085742A"/>
    <w:rsid w:val="00873619"/>
    <w:rsid w:val="0088044C"/>
    <w:rsid w:val="0088483B"/>
    <w:rsid w:val="00894AC1"/>
    <w:rsid w:val="008A42A8"/>
    <w:rsid w:val="008A5305"/>
    <w:rsid w:val="00916273"/>
    <w:rsid w:val="00957063"/>
    <w:rsid w:val="00991651"/>
    <w:rsid w:val="009A781E"/>
    <w:rsid w:val="009C67B6"/>
    <w:rsid w:val="00A0004A"/>
    <w:rsid w:val="00A1611F"/>
    <w:rsid w:val="00A5502A"/>
    <w:rsid w:val="00A62BF8"/>
    <w:rsid w:val="00A65A9A"/>
    <w:rsid w:val="00A944CE"/>
    <w:rsid w:val="00AD60B2"/>
    <w:rsid w:val="00AE7E93"/>
    <w:rsid w:val="00AF72C1"/>
    <w:rsid w:val="00B0010C"/>
    <w:rsid w:val="00B0181B"/>
    <w:rsid w:val="00B15989"/>
    <w:rsid w:val="00B24EAF"/>
    <w:rsid w:val="00B31D94"/>
    <w:rsid w:val="00B46E36"/>
    <w:rsid w:val="00B65178"/>
    <w:rsid w:val="00B92624"/>
    <w:rsid w:val="00BC16CC"/>
    <w:rsid w:val="00BD4CF3"/>
    <w:rsid w:val="00BD572F"/>
    <w:rsid w:val="00BD7160"/>
    <w:rsid w:val="00BE49F0"/>
    <w:rsid w:val="00C11B77"/>
    <w:rsid w:val="00C165E6"/>
    <w:rsid w:val="00C26E34"/>
    <w:rsid w:val="00C320B3"/>
    <w:rsid w:val="00C415C1"/>
    <w:rsid w:val="00C87FA2"/>
    <w:rsid w:val="00CA1A16"/>
    <w:rsid w:val="00CC172E"/>
    <w:rsid w:val="00CF6A11"/>
    <w:rsid w:val="00D06FDF"/>
    <w:rsid w:val="00D146A9"/>
    <w:rsid w:val="00D16CBD"/>
    <w:rsid w:val="00D324AC"/>
    <w:rsid w:val="00D44CEA"/>
    <w:rsid w:val="00D46CE0"/>
    <w:rsid w:val="00D64F60"/>
    <w:rsid w:val="00D75704"/>
    <w:rsid w:val="00D85103"/>
    <w:rsid w:val="00D93C74"/>
    <w:rsid w:val="00DA0B40"/>
    <w:rsid w:val="00E20BED"/>
    <w:rsid w:val="00E47581"/>
    <w:rsid w:val="00E47F2F"/>
    <w:rsid w:val="00EA3914"/>
    <w:rsid w:val="00EB79D6"/>
    <w:rsid w:val="00ED0B00"/>
    <w:rsid w:val="00ED4F38"/>
    <w:rsid w:val="00ED68A1"/>
    <w:rsid w:val="00EF16B6"/>
    <w:rsid w:val="00EF3606"/>
    <w:rsid w:val="00EF3A39"/>
    <w:rsid w:val="00F307EF"/>
    <w:rsid w:val="00F36009"/>
    <w:rsid w:val="00F3630A"/>
    <w:rsid w:val="00F45B3F"/>
    <w:rsid w:val="00F748F6"/>
    <w:rsid w:val="00FC38AB"/>
    <w:rsid w:val="00FD21BA"/>
    <w:rsid w:val="00FE4C0A"/>
    <w:rsid w:val="05BB38FD"/>
    <w:rsid w:val="1035774E"/>
    <w:rsid w:val="10617EA1"/>
    <w:rsid w:val="10E9043E"/>
    <w:rsid w:val="13FD48F8"/>
    <w:rsid w:val="15336EDA"/>
    <w:rsid w:val="15945EF4"/>
    <w:rsid w:val="16A04732"/>
    <w:rsid w:val="16E430E2"/>
    <w:rsid w:val="1C46770D"/>
    <w:rsid w:val="1CDE542C"/>
    <w:rsid w:val="1DC44BB3"/>
    <w:rsid w:val="225D48E2"/>
    <w:rsid w:val="263D4409"/>
    <w:rsid w:val="264442DF"/>
    <w:rsid w:val="2684635D"/>
    <w:rsid w:val="273A31BA"/>
    <w:rsid w:val="28F80149"/>
    <w:rsid w:val="29114BCF"/>
    <w:rsid w:val="29A349C7"/>
    <w:rsid w:val="2C4C667A"/>
    <w:rsid w:val="2E745393"/>
    <w:rsid w:val="2EFC4B3C"/>
    <w:rsid w:val="2F035F4C"/>
    <w:rsid w:val="3352398D"/>
    <w:rsid w:val="33972157"/>
    <w:rsid w:val="38162C34"/>
    <w:rsid w:val="397C09ED"/>
    <w:rsid w:val="3B09063F"/>
    <w:rsid w:val="3C443382"/>
    <w:rsid w:val="3F4F27C5"/>
    <w:rsid w:val="41BD4C6F"/>
    <w:rsid w:val="44572231"/>
    <w:rsid w:val="47D24D5E"/>
    <w:rsid w:val="484763CF"/>
    <w:rsid w:val="49A54235"/>
    <w:rsid w:val="5161251F"/>
    <w:rsid w:val="53E04558"/>
    <w:rsid w:val="53E73D24"/>
    <w:rsid w:val="5CA561B8"/>
    <w:rsid w:val="5E084DE4"/>
    <w:rsid w:val="5E527235"/>
    <w:rsid w:val="5FFC0A9E"/>
    <w:rsid w:val="68256FF9"/>
    <w:rsid w:val="6B7773DA"/>
    <w:rsid w:val="6BDA5F91"/>
    <w:rsid w:val="70F661C1"/>
    <w:rsid w:val="74F05153"/>
    <w:rsid w:val="75082319"/>
    <w:rsid w:val="789A7E18"/>
    <w:rsid w:val="7ABF146F"/>
    <w:rsid w:val="7BF452C3"/>
    <w:rsid w:val="7E057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 w:type="character" w:customStyle="1" w:styleId="11">
    <w:name w:val="fontstyle01"/>
    <w:basedOn w:val="6"/>
    <w:qFormat/>
    <w:uiPriority w:val="0"/>
    <w:rPr>
      <w:rFonts w:ascii="CIDFont + F2" w:hAnsi="CIDFont + F2" w:eastAsia="CIDFont + F2" w:cs="CIDFont + F2"/>
      <w:color w:val="00000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7A71D2-CD0A-44CB-BEF3-F2DD6BDA39AC}">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10</Pages>
  <Words>793</Words>
  <Characters>4526</Characters>
  <Lines>37</Lines>
  <Paragraphs>10</Paragraphs>
  <TotalTime>6</TotalTime>
  <ScaleCrop>false</ScaleCrop>
  <LinksUpToDate>false</LinksUpToDate>
  <CharactersWithSpaces>5309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2018-09-06T07:03:00Z</dcterms:created>
  <dc:creator>王劭冰</dc:creator>
  <cp:lastModifiedBy>净净</cp:lastModifiedBy>
  <cp:lastPrinted>2020-12-10T05:36:00Z</cp:lastPrinted>
  <dcterms:modified xsi:type="dcterms:W3CDTF">2020-12-10T07:09:57Z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