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w:t>
      </w:r>
      <w:r>
        <w:rPr>
          <w:rFonts w:hint="eastAsia" w:ascii="方正小标宋简体" w:hAnsi="方正小标宋简体" w:eastAsia="方正小标宋简体" w:cs="方正小标宋简体"/>
          <w:sz w:val="44"/>
          <w:szCs w:val="44"/>
          <w:lang w:val="en-US" w:eastAsia="zh-CN"/>
        </w:rPr>
        <w:t>服务业发展专项</w:t>
      </w:r>
      <w:r>
        <w:rPr>
          <w:rFonts w:hint="eastAsia" w:ascii="方正小标宋简体" w:hAnsi="方正小标宋简体" w:eastAsia="方正小标宋简体" w:cs="方正小标宋简体"/>
          <w:sz w:val="44"/>
          <w:szCs w:val="44"/>
        </w:rPr>
        <w:t>资金管理办法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征求意见稿</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第一条</w:t>
      </w:r>
      <w:r>
        <w:rPr>
          <w:rFonts w:hint="eastAsia" w:ascii="黑体" w:hAnsi="黑体" w:eastAsia="黑体"/>
          <w:sz w:val="32"/>
          <w:szCs w:val="32"/>
        </w:rPr>
        <w:t xml:space="preserve"> </w:t>
      </w:r>
      <w:r>
        <w:rPr>
          <w:rFonts w:hint="eastAsia" w:ascii="仿宋_GB2312" w:hAnsi="楷体_GB2312" w:eastAsia="仿宋_GB2312" w:cs="楷体_GB2312"/>
          <w:sz w:val="32"/>
          <w:szCs w:val="32"/>
        </w:rPr>
        <w:t>为</w:t>
      </w:r>
      <w:r>
        <w:rPr>
          <w:rFonts w:hint="eastAsia" w:ascii="仿宋_GB2312" w:hAnsi="仿宋_GB2312" w:eastAsia="仿宋_GB2312" w:cs="仿宋_GB2312"/>
          <w:color w:val="000000"/>
          <w:sz w:val="32"/>
          <w:szCs w:val="32"/>
        </w:rPr>
        <w:t>贯彻落实国家推进新时代服务业高质量发展的相关精神和</w:t>
      </w:r>
      <w:r>
        <w:rPr>
          <w:rFonts w:hint="eastAsia" w:ascii="仿宋_GB2312" w:hAnsi="??" w:eastAsia="仿宋_GB2312" w:cs="仿宋_GB2312"/>
          <w:sz w:val="32"/>
          <w:szCs w:val="32"/>
        </w:rPr>
        <w:t>市委、市政府“六争攻坚、三年攀高”决策部署，</w:t>
      </w:r>
      <w:r>
        <w:rPr>
          <w:rFonts w:hint="eastAsia" w:ascii="仿宋_GB2312" w:hAnsi="仿宋_GB2312" w:eastAsia="仿宋_GB2312" w:cs="仿宋_GB2312"/>
          <w:color w:val="000000"/>
          <w:sz w:val="32"/>
          <w:szCs w:val="32"/>
        </w:rPr>
        <w:t>抢抓新一轮科技革命和产业变革的机遇，</w:t>
      </w:r>
      <w:r>
        <w:rPr>
          <w:rFonts w:hint="eastAsia" w:ascii="仿宋_GB2312" w:hAnsi="??" w:eastAsia="仿宋_GB2312" w:cs="仿宋_GB2312"/>
          <w:sz w:val="32"/>
          <w:szCs w:val="32"/>
        </w:rPr>
        <w:t>聚焦重点领域，加大工作力度，</w:t>
      </w:r>
      <w:r>
        <w:rPr>
          <w:rFonts w:hint="eastAsia" w:ascii="仿宋_GB2312" w:hAnsi="仿宋_GB2312" w:eastAsia="仿宋_GB2312" w:cs="仿宋_GB2312"/>
          <w:color w:val="000000"/>
          <w:sz w:val="32"/>
          <w:szCs w:val="32"/>
        </w:rPr>
        <w:t>着力构建以“3433”为重点的现代服务经济体系，实现服务业提质增效、倍增发展，同时</w:t>
      </w:r>
      <w:r>
        <w:rPr>
          <w:rFonts w:hint="eastAsia" w:ascii="仿宋_GB2312" w:hAnsi="仿宋_GB2312" w:eastAsia="仿宋_GB2312" w:cs="仿宋_GB2312"/>
          <w:spacing w:val="8"/>
          <w:sz w:val="32"/>
          <w:szCs w:val="32"/>
        </w:rPr>
        <w:t>切实加强</w:t>
      </w:r>
      <w:r>
        <w:rPr>
          <w:rFonts w:hint="eastAsia" w:ascii="仿宋_GB2312" w:eastAsia="仿宋_GB2312"/>
          <w:sz w:val="32"/>
          <w:szCs w:val="32"/>
        </w:rPr>
        <w:t>专项</w:t>
      </w:r>
      <w:r>
        <w:rPr>
          <w:rFonts w:hint="eastAsia" w:ascii="仿宋_GB2312" w:hAnsi="仿宋_GB2312" w:eastAsia="仿宋_GB2312" w:cs="仿宋_GB2312"/>
          <w:spacing w:val="8"/>
          <w:sz w:val="32"/>
          <w:szCs w:val="32"/>
        </w:rPr>
        <w:t>资金使用管理，提高资金使用效益，根据宁波市《实施“3433”服务业倍增发展行动方案</w:t>
      </w:r>
      <w:r>
        <w:rPr>
          <w:rFonts w:hint="eastAsia" w:ascii="仿宋_GB2312" w:eastAsia="仿宋_GB2312"/>
          <w:sz w:val="32"/>
          <w:szCs w:val="32"/>
        </w:rPr>
        <w:t>》（甬党发〔2020〕14号）等相关文件精神，制定本办法。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ascii="楷体_GB2312" w:hAnsi="楷体_GB2312" w:eastAsia="楷体_GB2312" w:cs="楷体_GB2312"/>
          <w:sz w:val="32"/>
          <w:szCs w:val="32"/>
        </w:rPr>
        <w:t>第二条</w:t>
      </w:r>
      <w:r>
        <w:rPr>
          <w:rFonts w:hint="eastAsia" w:ascii="仿宋_GB2312" w:eastAsia="仿宋_GB2312"/>
          <w:sz w:val="32"/>
          <w:szCs w:val="32"/>
        </w:rPr>
        <w:t xml:space="preserve"> 本办法所称</w:t>
      </w:r>
      <w:r>
        <w:rPr>
          <w:rFonts w:hint="eastAsia" w:ascii="仿宋_GB2312" w:eastAsia="仿宋_GB2312"/>
          <w:sz w:val="32"/>
          <w:szCs w:val="32"/>
          <w:lang w:val="en-US" w:eastAsia="zh-CN"/>
        </w:rPr>
        <w:t>服务业发展</w:t>
      </w:r>
      <w:r>
        <w:rPr>
          <w:rFonts w:hint="eastAsia" w:ascii="仿宋_GB2312" w:eastAsia="仿宋_GB2312"/>
          <w:sz w:val="32"/>
          <w:szCs w:val="32"/>
        </w:rPr>
        <w:t>专项资金</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以下简称专项资金</w:t>
      </w:r>
      <w:r>
        <w:rPr>
          <w:rFonts w:hint="eastAsia" w:ascii="仿宋_GB2312" w:eastAsia="仿宋_GB2312"/>
          <w:sz w:val="32"/>
          <w:szCs w:val="32"/>
          <w:lang w:eastAsia="zh-CN"/>
        </w:rPr>
        <w:t>）</w:t>
      </w:r>
      <w:r>
        <w:rPr>
          <w:rFonts w:hint="eastAsia" w:ascii="仿宋_GB2312" w:eastAsia="仿宋_GB2312"/>
          <w:sz w:val="32"/>
          <w:szCs w:val="32"/>
        </w:rPr>
        <w:t>是指市财政一般公共预算安排的</w:t>
      </w:r>
      <w:r>
        <w:rPr>
          <w:rFonts w:hint="eastAsia" w:ascii="仿宋_GB2312" w:eastAsia="仿宋_GB2312"/>
          <w:sz w:val="32"/>
          <w:szCs w:val="32"/>
          <w:lang w:val="en-US" w:eastAsia="zh-CN"/>
        </w:rPr>
        <w:t>纳入市</w:t>
      </w:r>
      <w:r>
        <w:rPr>
          <w:rFonts w:hint="eastAsia" w:ascii="仿宋_GB2312" w:eastAsia="仿宋_GB2312"/>
          <w:sz w:val="32"/>
          <w:szCs w:val="32"/>
        </w:rPr>
        <w:t>服务业</w:t>
      </w:r>
      <w:r>
        <w:rPr>
          <w:rFonts w:hint="eastAsia" w:ascii="仿宋_GB2312" w:eastAsia="仿宋_GB2312"/>
          <w:sz w:val="32"/>
          <w:szCs w:val="32"/>
          <w:lang w:val="en-US" w:eastAsia="zh-CN"/>
        </w:rPr>
        <w:t>局预算管理，用于推进服务业高质量</w:t>
      </w:r>
      <w:r>
        <w:rPr>
          <w:rFonts w:hint="eastAsia" w:ascii="仿宋_GB2312" w:eastAsia="仿宋_GB2312"/>
          <w:sz w:val="32"/>
          <w:szCs w:val="32"/>
        </w:rPr>
        <w:t>发展</w:t>
      </w:r>
      <w:r>
        <w:rPr>
          <w:rFonts w:hint="eastAsia" w:ascii="仿宋_GB2312" w:eastAsia="仿宋_GB2312"/>
          <w:sz w:val="32"/>
          <w:szCs w:val="32"/>
          <w:lang w:val="en-US" w:eastAsia="zh-CN"/>
        </w:rPr>
        <w:t>的</w:t>
      </w:r>
      <w:r>
        <w:rPr>
          <w:rFonts w:hint="eastAsia" w:ascii="仿宋_GB2312" w:eastAsia="仿宋_GB2312"/>
          <w:sz w:val="32"/>
          <w:szCs w:val="32"/>
        </w:rPr>
        <w:t>专项资金</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eastAsia="仿宋_GB2312"/>
          <w:sz w:val="32"/>
          <w:szCs w:val="32"/>
        </w:rPr>
        <w:t>年度安排的</w:t>
      </w:r>
      <w:r>
        <w:rPr>
          <w:rFonts w:hint="eastAsia" w:ascii="仿宋_GB2312" w:eastAsia="仿宋_GB2312"/>
          <w:sz w:val="32"/>
          <w:szCs w:val="32"/>
        </w:rPr>
        <w:t>专项</w:t>
      </w:r>
      <w:r>
        <w:rPr>
          <w:rFonts w:hint="eastAsia" w:eastAsia="仿宋_GB2312"/>
          <w:sz w:val="32"/>
          <w:szCs w:val="32"/>
        </w:rPr>
        <w:t>资金可以在支持领域内统筹调剂使用。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楷体_GB2312" w:hAnsi="楷体_GB2312" w:eastAsia="楷体_GB2312" w:cs="楷体_GB2312"/>
          <w:sz w:val="32"/>
          <w:szCs w:val="32"/>
        </w:rPr>
        <w:t xml:space="preserve">第三条  </w:t>
      </w:r>
      <w:r>
        <w:rPr>
          <w:rFonts w:hint="eastAsia" w:ascii="仿宋_GB2312" w:hAnsi="仿宋_GB2312" w:eastAsia="仿宋_GB2312" w:cs="仿宋_GB2312"/>
          <w:color w:val="000000"/>
          <w:sz w:val="32"/>
          <w:szCs w:val="32"/>
        </w:rPr>
        <w:t>专项</w:t>
      </w:r>
      <w:r>
        <w:rPr>
          <w:rFonts w:hint="eastAsia" w:eastAsia="仿宋_GB2312"/>
          <w:sz w:val="32"/>
          <w:szCs w:val="32"/>
        </w:rPr>
        <w:t>资金使用</w:t>
      </w:r>
      <w:r>
        <w:rPr>
          <w:rFonts w:hint="eastAsia" w:ascii="仿宋_GB2312" w:eastAsia="仿宋_GB2312"/>
          <w:color w:val="000000"/>
          <w:sz w:val="32"/>
          <w:szCs w:val="32"/>
        </w:rPr>
        <w:t>实行自愿申报、</w:t>
      </w:r>
      <w:r>
        <w:rPr>
          <w:rFonts w:hint="eastAsia" w:ascii="仿宋_GB2312" w:eastAsia="仿宋_GB2312"/>
          <w:sz w:val="32"/>
          <w:szCs w:val="32"/>
        </w:rPr>
        <w:t>绩效管理</w:t>
      </w:r>
      <w:r>
        <w:rPr>
          <w:rFonts w:hint="eastAsia" w:ascii="仿宋_GB2312" w:eastAsia="仿宋_GB2312"/>
          <w:color w:val="000000"/>
          <w:sz w:val="32"/>
          <w:szCs w:val="32"/>
        </w:rPr>
        <w:t>、专项审计制度，</w:t>
      </w:r>
      <w:r>
        <w:rPr>
          <w:rFonts w:hint="eastAsia" w:ascii="仿宋_GB2312" w:hAnsi="仿宋_GB2312" w:eastAsia="仿宋_GB2312" w:cs="仿宋_GB2312"/>
          <w:color w:val="000000"/>
          <w:sz w:val="32"/>
          <w:szCs w:val="32"/>
        </w:rPr>
        <w:t>遵循公开、公平、公正原则，确保专项资金规范、安全和高效使用，</w:t>
      </w:r>
      <w:r>
        <w:rPr>
          <w:rFonts w:hint="eastAsia" w:ascii="仿宋_GB2312" w:eastAsia="仿宋_GB2312"/>
          <w:sz w:val="32"/>
          <w:szCs w:val="32"/>
        </w:rPr>
        <w:t>有效发挥财政资金引导带动作用</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 xml:space="preserve">第四条  </w:t>
      </w:r>
      <w:r>
        <w:rPr>
          <w:rFonts w:hint="eastAsia" w:ascii="仿宋_GB2312" w:eastAsia="仿宋_GB2312"/>
          <w:sz w:val="32"/>
          <w:szCs w:val="32"/>
        </w:rPr>
        <w:t>市服务业局负责拟定专项资金使用方向和资金分配计划。组织开展项目申报和管理，牵头开展项目核查。提出资金使用绩效目标，对专项资金使用情况进行绩效评价。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市财政局负责审核市服务业局报送的绩效目标和绩效报告，</w:t>
      </w:r>
      <w:r>
        <w:rPr>
          <w:rFonts w:hint="eastAsia" w:ascii="仿宋_GB2312" w:eastAsia="仿宋_GB2312"/>
          <w:sz w:val="32"/>
          <w:szCs w:val="32"/>
          <w:lang w:val="en-US" w:eastAsia="zh-CN"/>
        </w:rPr>
        <w:t>做好</w:t>
      </w:r>
      <w:r>
        <w:rPr>
          <w:rFonts w:hint="eastAsia" w:ascii="仿宋_GB2312" w:eastAsia="仿宋_GB2312"/>
          <w:sz w:val="32"/>
          <w:szCs w:val="32"/>
        </w:rPr>
        <w:t>专项资金预算安排和资金分配的监督管理。</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_GB2312" w:eastAsia="仿宋_GB2312"/>
          <w:sz w:val="32"/>
          <w:szCs w:val="32"/>
        </w:rPr>
      </w:pPr>
      <w:r>
        <w:rPr>
          <w:rFonts w:hint="eastAsia" w:ascii="楷体_GB2312" w:hAnsi="楷体_GB2312" w:eastAsia="楷体_GB2312" w:cs="楷体_GB2312"/>
          <w:spacing w:val="-4"/>
          <w:sz w:val="32"/>
          <w:szCs w:val="32"/>
          <w:lang w:val="en-US" w:eastAsia="zh-CN"/>
        </w:rPr>
        <w:t>第五条</w:t>
      </w:r>
      <w:r>
        <w:rPr>
          <w:rFonts w:hint="eastAsia" w:ascii="楷体_GB2312" w:hAnsi="楷体_GB2312" w:eastAsia="楷体_GB2312" w:cs="楷体_GB2312"/>
          <w:spacing w:val="-4"/>
          <w:sz w:val="32"/>
          <w:szCs w:val="32"/>
        </w:rPr>
        <w:t xml:space="preserve"> </w:t>
      </w:r>
      <w:r>
        <w:rPr>
          <w:rFonts w:hint="eastAsia" w:ascii="楷体_GB2312" w:hAnsi="楷体_GB2312" w:eastAsia="楷体_GB2312" w:cs="楷体_GB2312"/>
          <w:spacing w:val="-4"/>
          <w:sz w:val="32"/>
          <w:szCs w:val="32"/>
          <w:lang w:val="en-US" w:eastAsia="zh-CN"/>
        </w:rPr>
        <w:t xml:space="preserve"> </w:t>
      </w:r>
      <w:r>
        <w:rPr>
          <w:rFonts w:hint="eastAsia" w:ascii="仿宋_GB2312" w:eastAsia="仿宋_GB2312"/>
          <w:sz w:val="32"/>
          <w:szCs w:val="32"/>
        </w:rPr>
        <w:t>市和各区县（市）服务业发展主管部门是相应市级服务业发展专项资金绩效管理的责任主体，按照规定对专项资金的安排使用情况提出绩效目标、开展绩效评价，绩效评价结果</w:t>
      </w:r>
      <w:r>
        <w:rPr>
          <w:rFonts w:hint="eastAsia" w:ascii="仿宋_GB2312" w:eastAsia="仿宋_GB2312"/>
          <w:sz w:val="32"/>
          <w:szCs w:val="32"/>
          <w:lang w:val="en-US" w:eastAsia="zh-CN"/>
        </w:rPr>
        <w:t>作为下一</w:t>
      </w:r>
      <w:r>
        <w:rPr>
          <w:rFonts w:hint="eastAsia" w:ascii="仿宋_GB2312" w:eastAsia="仿宋_GB2312"/>
          <w:sz w:val="32"/>
          <w:szCs w:val="32"/>
        </w:rPr>
        <w:t>年度专项资金安排的重要依据。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各区县（市）财政主管部门</w:t>
      </w:r>
      <w:r>
        <w:rPr>
          <w:rFonts w:hint="eastAsia" w:ascii="仿宋_GB2312" w:eastAsia="仿宋_GB2312"/>
          <w:color w:val="000000" w:themeColor="text1"/>
          <w:sz w:val="32"/>
          <w:szCs w:val="32"/>
          <w:lang w:val="en-US" w:eastAsia="zh-CN"/>
          <w14:textFill>
            <w14:solidFill>
              <w14:schemeClr w14:val="tx1"/>
            </w14:solidFill>
          </w14:textFill>
        </w:rPr>
        <w:t>审核属地</w:t>
      </w:r>
      <w:r>
        <w:rPr>
          <w:rFonts w:hint="eastAsia" w:ascii="仿宋_GB2312" w:eastAsia="仿宋_GB2312"/>
          <w:color w:val="000000" w:themeColor="text1"/>
          <w:sz w:val="32"/>
          <w:szCs w:val="32"/>
          <w14:textFill>
            <w14:solidFill>
              <w14:schemeClr w14:val="tx1"/>
            </w14:solidFill>
          </w14:textFill>
        </w:rPr>
        <w:t>服务业</w:t>
      </w:r>
      <w:r>
        <w:rPr>
          <w:rFonts w:hint="eastAsia" w:ascii="仿宋_GB2312" w:eastAsia="仿宋_GB2312"/>
          <w:color w:val="000000" w:themeColor="text1"/>
          <w:sz w:val="32"/>
          <w:szCs w:val="32"/>
          <w:lang w:val="en-US" w:eastAsia="zh-CN"/>
          <w14:textFill>
            <w14:solidFill>
              <w14:schemeClr w14:val="tx1"/>
            </w14:solidFill>
          </w14:textFill>
        </w:rPr>
        <w:t>发展主管部门</w:t>
      </w:r>
      <w:r>
        <w:rPr>
          <w:rFonts w:hint="eastAsia" w:ascii="仿宋_GB2312" w:eastAsia="仿宋_GB2312"/>
          <w:color w:val="000000" w:themeColor="text1"/>
          <w:sz w:val="32"/>
          <w:szCs w:val="32"/>
          <w14:textFill>
            <w14:solidFill>
              <w14:schemeClr w14:val="tx1"/>
            </w14:solidFill>
          </w14:textFill>
        </w:rPr>
        <w:t>报送的</w:t>
      </w:r>
      <w:r>
        <w:rPr>
          <w:rFonts w:hint="eastAsia" w:ascii="仿宋_GB2312" w:eastAsia="仿宋_GB2312"/>
          <w:color w:val="000000" w:themeColor="text1"/>
          <w:sz w:val="32"/>
          <w:szCs w:val="32"/>
          <w:lang w:val="en-US" w:eastAsia="zh-CN"/>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绩效目标和绩效报告</w:t>
      </w:r>
      <w:r>
        <w:rPr>
          <w:rFonts w:hint="eastAsia" w:ascii="仿宋_GB2312" w:eastAsia="仿宋_GB2312"/>
          <w:color w:val="000000" w:themeColor="text1"/>
          <w:sz w:val="32"/>
          <w:szCs w:val="32"/>
          <w:lang w:val="en-US" w:eastAsia="zh-CN"/>
          <w14:textFill>
            <w14:solidFill>
              <w14:schemeClr w14:val="tx1"/>
            </w14:solidFill>
          </w14:textFill>
        </w:rPr>
        <w:t>，做好专项资金的监管服务。</w:t>
      </w:r>
    </w:p>
    <w:p>
      <w:pPr>
        <w:keepNext w:val="0"/>
        <w:keepLines w:val="0"/>
        <w:pageBreakBefore w:val="0"/>
        <w:widowControl w:val="0"/>
        <w:kinsoku/>
        <w:wordWrap/>
        <w:overflowPunct/>
        <w:topLinePunct w:val="0"/>
        <w:autoSpaceDE/>
        <w:autoSpaceDN/>
        <w:bidi w:val="0"/>
        <w:adjustRightInd/>
        <w:snapToGrid/>
        <w:spacing w:before="156" w:after="156" w:line="540" w:lineRule="exact"/>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支持方向和范围</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_GB2312" w:eastAsia="仿宋_GB2312" w:cs="仿宋_GB2312"/>
          <w:spacing w:val="-4"/>
          <w:sz w:val="32"/>
          <w:szCs w:val="32"/>
        </w:rPr>
      </w:pPr>
      <w:r>
        <w:rPr>
          <w:rFonts w:hint="eastAsia" w:ascii="楷体_GB2312" w:hAnsi="楷体_GB2312" w:eastAsia="楷体_GB2312" w:cs="楷体_GB2312"/>
          <w:spacing w:val="-4"/>
          <w:sz w:val="32"/>
          <w:szCs w:val="32"/>
        </w:rPr>
        <w:t>第</w:t>
      </w:r>
      <w:r>
        <w:rPr>
          <w:rFonts w:hint="eastAsia" w:ascii="楷体_GB2312" w:hAnsi="楷体_GB2312" w:eastAsia="楷体_GB2312" w:cs="楷体_GB2312"/>
          <w:spacing w:val="-4"/>
          <w:sz w:val="32"/>
          <w:szCs w:val="32"/>
          <w:lang w:val="en-US" w:eastAsia="zh-CN"/>
        </w:rPr>
        <w:t>六</w:t>
      </w:r>
      <w:r>
        <w:rPr>
          <w:rFonts w:hint="eastAsia" w:ascii="楷体_GB2312" w:hAnsi="楷体_GB2312" w:eastAsia="楷体_GB2312" w:cs="楷体_GB2312"/>
          <w:spacing w:val="-4"/>
          <w:sz w:val="32"/>
          <w:szCs w:val="32"/>
        </w:rPr>
        <w:t>条</w:t>
      </w:r>
      <w:r>
        <w:rPr>
          <w:rFonts w:hint="eastAsia" w:ascii="仿宋_GB2312" w:eastAsia="仿宋_GB2312" w:cs="仿宋_GB2312"/>
          <w:spacing w:val="-4"/>
          <w:sz w:val="32"/>
          <w:szCs w:val="32"/>
        </w:rPr>
        <w:t xml:space="preserve"> </w:t>
      </w:r>
      <w:r>
        <w:rPr>
          <w:rFonts w:hint="eastAsia" w:ascii="仿宋_GB2312" w:eastAsia="仿宋_GB2312" w:cs="仿宋_GB2312"/>
          <w:spacing w:val="-4"/>
          <w:sz w:val="32"/>
          <w:szCs w:val="32"/>
          <w:lang w:val="en-US" w:eastAsia="zh-CN"/>
        </w:rPr>
        <w:t>专项</w:t>
      </w:r>
      <w:r>
        <w:rPr>
          <w:rFonts w:hint="eastAsia" w:ascii="仿宋_GB2312" w:eastAsia="仿宋_GB2312" w:cs="仿宋_GB2312"/>
          <w:spacing w:val="-4"/>
          <w:sz w:val="32"/>
          <w:szCs w:val="32"/>
        </w:rPr>
        <w:t>资金主要用于</w:t>
      </w:r>
      <w:r>
        <w:rPr>
          <w:rFonts w:hint="eastAsia" w:ascii="仿宋_GB2312" w:eastAsia="仿宋_GB2312" w:cs="仿宋_GB2312"/>
          <w:spacing w:val="-4"/>
          <w:sz w:val="32"/>
          <w:szCs w:val="32"/>
          <w:lang w:val="en-US" w:eastAsia="zh-CN"/>
        </w:rPr>
        <w:t>支持以</w:t>
      </w:r>
      <w:r>
        <w:rPr>
          <w:rFonts w:hint="eastAsia" w:ascii="仿宋_GB2312" w:hAnsi="仿宋_GB2312" w:eastAsia="仿宋_GB2312" w:cs="仿宋_GB2312"/>
          <w:b w:val="0"/>
          <w:bCs w:val="0"/>
          <w:color w:val="000000"/>
          <w:spacing w:val="0"/>
          <w:sz w:val="32"/>
          <w:szCs w:val="32"/>
          <w:lang w:val="en-US" w:eastAsia="zh-CN"/>
        </w:rPr>
        <w:t>“3433”为重点的</w:t>
      </w:r>
      <w:r>
        <w:rPr>
          <w:rFonts w:hint="eastAsia" w:ascii="仿宋_GB2312" w:eastAsia="仿宋_GB2312" w:cs="仿宋_GB2312"/>
          <w:spacing w:val="-4"/>
          <w:sz w:val="32"/>
          <w:szCs w:val="32"/>
          <w:lang w:val="en-US" w:eastAsia="zh-CN"/>
        </w:rPr>
        <w:t>宁波市现代服务业</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spacing w:val="0"/>
          <w:sz w:val="32"/>
          <w:szCs w:val="32"/>
          <w:lang w:val="en-US" w:eastAsia="zh-CN"/>
        </w:rPr>
        <w:t>聚焦于</w:t>
      </w:r>
      <w:r>
        <w:rPr>
          <w:rFonts w:hint="eastAsia" w:ascii="仿宋_GB2312" w:eastAsia="仿宋_GB2312" w:cs="仿宋_GB2312"/>
          <w:spacing w:val="-4"/>
          <w:sz w:val="32"/>
          <w:szCs w:val="32"/>
        </w:rPr>
        <w:t>物流</w:t>
      </w:r>
      <w:r>
        <w:rPr>
          <w:rFonts w:hint="eastAsia" w:ascii="仿宋_GB2312" w:eastAsia="仿宋_GB2312" w:cs="仿宋_GB2312"/>
          <w:spacing w:val="-4"/>
          <w:sz w:val="32"/>
          <w:szCs w:val="32"/>
          <w:lang w:val="en-US" w:eastAsia="zh-CN"/>
        </w:rPr>
        <w:t>业</w:t>
      </w:r>
      <w:r>
        <w:rPr>
          <w:rFonts w:hint="eastAsia" w:ascii="仿宋_GB2312" w:eastAsia="仿宋_GB2312" w:cs="仿宋_GB2312"/>
          <w:spacing w:val="-4"/>
          <w:sz w:val="32"/>
          <w:szCs w:val="32"/>
          <w:lang w:eastAsia="zh-CN"/>
        </w:rPr>
        <w:t>、</w:t>
      </w:r>
      <w:r>
        <w:rPr>
          <w:rFonts w:hint="eastAsia" w:ascii="仿宋_GB2312" w:eastAsia="仿宋_GB2312" w:cs="仿宋_GB2312"/>
          <w:spacing w:val="-4"/>
          <w:sz w:val="32"/>
          <w:szCs w:val="32"/>
          <w:lang w:val="en-US" w:eastAsia="zh-CN"/>
        </w:rPr>
        <w:t>会展业、服务业新业态新模式、服务业集聚发展和服务业上规模发展以及法律、会</w:t>
      </w:r>
      <w:r>
        <w:rPr>
          <w:rFonts w:hint="eastAsia" w:ascii="仿宋_GB2312" w:hAnsi="Times New Roman" w:eastAsia="仿宋_GB2312" w:cs="仿宋_GB2312"/>
          <w:i w:val="0"/>
          <w:caps w:val="0"/>
          <w:color w:val="333333"/>
          <w:spacing w:val="-4"/>
          <w:sz w:val="32"/>
          <w:szCs w:val="32"/>
          <w:shd w:val="clear" w:fill="auto"/>
          <w:lang w:val="en-US" w:eastAsia="zh-CN"/>
        </w:rPr>
        <w:t>计、咨询、检验检测生产性服务业等重点领域。</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spacing w:val="-4"/>
          <w:sz w:val="32"/>
          <w:szCs w:val="32"/>
        </w:rPr>
        <w:t>第七条</w:t>
      </w:r>
      <w:r>
        <w:rPr>
          <w:rFonts w:ascii="仿宋_GB2312" w:eastAsia="仿宋_GB2312" w:cs="仿宋_GB2312"/>
          <w:spacing w:val="-4"/>
          <w:sz w:val="32"/>
          <w:szCs w:val="32"/>
        </w:rPr>
        <w:t xml:space="preserve"> </w:t>
      </w:r>
      <w:r>
        <w:rPr>
          <w:rFonts w:hint="eastAsia" w:ascii="仿宋_GB2312" w:eastAsia="仿宋_GB2312"/>
          <w:sz w:val="32"/>
          <w:szCs w:val="32"/>
        </w:rPr>
        <w:t>本办法所称物流业</w:t>
      </w:r>
      <w:r>
        <w:rPr>
          <w:rFonts w:hint="eastAsia" w:ascii="仿宋_GB2312" w:hAnsi="Times New Roman" w:eastAsia="仿宋_GB2312" w:cs="仿宋_GB2312"/>
          <w:i w:val="0"/>
          <w:caps w:val="0"/>
          <w:color w:val="333333"/>
          <w:spacing w:val="-4"/>
          <w:sz w:val="32"/>
          <w:szCs w:val="32"/>
          <w:shd w:val="clear" w:fill="auto"/>
        </w:rPr>
        <w:t>是将运输</w:t>
      </w:r>
      <w:r>
        <w:rPr>
          <w:rFonts w:hint="eastAsia" w:ascii="仿宋_GB2312" w:hAnsi="Times New Roman" w:eastAsia="仿宋_GB2312" w:cs="仿宋_GB2312"/>
          <w:i w:val="0"/>
          <w:caps w:val="0"/>
          <w:color w:val="000000" w:themeColor="text1"/>
          <w:spacing w:val="-4"/>
          <w:sz w:val="32"/>
          <w:szCs w:val="32"/>
          <w:shd w:val="clear" w:fill="auto"/>
          <w14:textFill>
            <w14:solidFill>
              <w14:schemeClr w14:val="tx1"/>
            </w14:solidFill>
          </w14:textFill>
        </w:rPr>
        <w:t>、</w:t>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fldChar w:fldCharType="begin"/>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instrText xml:space="preserve"> HYPERLINK "https://baike.baidu.com/item/%E5%82%A8%E5%AD%98" \t "https://baike.baidu.com/item/%E7%89%A9%E6%B5%81%E4%B8%9A/_blank" </w:instrText>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fldChar w:fldCharType="separate"/>
      </w:r>
      <w:r>
        <w:rPr>
          <w:rStyle w:val="7"/>
          <w:rFonts w:hint="eastAsia" w:ascii="仿宋_GB2312" w:hAnsi="Times New Roman" w:eastAsia="仿宋_GB2312" w:cs="仿宋_GB2312"/>
          <w:i w:val="0"/>
          <w:caps w:val="0"/>
          <w:color w:val="000000" w:themeColor="text1"/>
          <w:spacing w:val="-4"/>
          <w:sz w:val="32"/>
          <w:szCs w:val="32"/>
          <w:u w:val="none"/>
          <w:shd w:val="clear" w:fill="FFFFFF"/>
          <w14:textFill>
            <w14:solidFill>
              <w14:schemeClr w14:val="tx1"/>
            </w14:solidFill>
          </w14:textFill>
        </w:rPr>
        <w:t>储存</w:t>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fldChar w:fldCharType="end"/>
      </w:r>
      <w:r>
        <w:rPr>
          <w:rFonts w:hint="eastAsia" w:ascii="仿宋_GB2312" w:hAnsi="Times New Roman" w:eastAsia="仿宋_GB2312" w:cs="仿宋_GB2312"/>
          <w:i w:val="0"/>
          <w:caps w:val="0"/>
          <w:color w:val="000000" w:themeColor="text1"/>
          <w:spacing w:val="-4"/>
          <w:sz w:val="32"/>
          <w:szCs w:val="32"/>
          <w:shd w:val="clear" w:fill="auto"/>
          <w14:textFill>
            <w14:solidFill>
              <w14:schemeClr w14:val="tx1"/>
            </w14:solidFill>
          </w14:textFill>
        </w:rPr>
        <w:t>、装卸、搬运、包装、</w:t>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fldChar w:fldCharType="begin"/>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instrText xml:space="preserve"> HYPERLINK "https://baike.baidu.com/item/%E6%B5%81%E9%80%9A%E5%8A%A0%E5%B7%A5" \t "https://baike.baidu.com/item/%E7%89%A9%E6%B5%81%E4%B8%9A/_blank" </w:instrText>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fldChar w:fldCharType="separate"/>
      </w:r>
      <w:r>
        <w:rPr>
          <w:rStyle w:val="7"/>
          <w:rFonts w:hint="eastAsia" w:ascii="仿宋_GB2312" w:hAnsi="Times New Roman" w:eastAsia="仿宋_GB2312" w:cs="仿宋_GB2312"/>
          <w:i w:val="0"/>
          <w:caps w:val="0"/>
          <w:color w:val="000000" w:themeColor="text1"/>
          <w:spacing w:val="-4"/>
          <w:sz w:val="32"/>
          <w:szCs w:val="32"/>
          <w:u w:val="none"/>
          <w:shd w:val="clear" w:fill="FFFFFF"/>
          <w14:textFill>
            <w14:solidFill>
              <w14:schemeClr w14:val="tx1"/>
            </w14:solidFill>
          </w14:textFill>
        </w:rPr>
        <w:t>流通加工</w:t>
      </w:r>
      <w:r>
        <w:rPr>
          <w:rFonts w:hint="eastAsia" w:ascii="仿宋_GB2312" w:hAnsi="Times New Roman" w:eastAsia="仿宋_GB2312" w:cs="仿宋_GB2312"/>
          <w:i w:val="0"/>
          <w:caps w:val="0"/>
          <w:color w:val="000000" w:themeColor="text1"/>
          <w:spacing w:val="-4"/>
          <w:sz w:val="32"/>
          <w:szCs w:val="32"/>
          <w:u w:val="none"/>
          <w:shd w:val="clear" w:fill="auto"/>
          <w14:textFill>
            <w14:solidFill>
              <w14:schemeClr w14:val="tx1"/>
            </w14:solidFill>
          </w14:textFill>
        </w:rPr>
        <w:fldChar w:fldCharType="end"/>
      </w:r>
      <w:r>
        <w:rPr>
          <w:rFonts w:hint="eastAsia" w:ascii="仿宋_GB2312" w:hAnsi="Times New Roman" w:eastAsia="仿宋_GB2312" w:cs="仿宋_GB2312"/>
          <w:i w:val="0"/>
          <w:caps w:val="0"/>
          <w:color w:val="000000" w:themeColor="text1"/>
          <w:spacing w:val="-4"/>
          <w:sz w:val="32"/>
          <w:szCs w:val="32"/>
          <w:shd w:val="clear" w:fill="auto"/>
          <w14:textFill>
            <w14:solidFill>
              <w14:schemeClr w14:val="tx1"/>
            </w14:solidFill>
          </w14:textFill>
        </w:rPr>
        <w:t>、配送、信息处理等基本功能根据实际需要实施有机结合的活动的集合</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包括</w:t>
      </w:r>
      <w:r>
        <w:rPr>
          <w:rFonts w:hint="eastAsia" w:ascii="仿宋_GB2312" w:eastAsia="仿宋_GB2312"/>
          <w:color w:val="000000" w:themeColor="text1"/>
          <w:sz w:val="32"/>
          <w:szCs w:val="32"/>
          <w14:textFill>
            <w14:solidFill>
              <w14:schemeClr w14:val="tx1"/>
            </w14:solidFill>
          </w14:textFill>
        </w:rPr>
        <w:t>依托大数据、云计算、物联网等先进信息技术的“</w:t>
      </w:r>
      <w:r>
        <w:rPr>
          <w:rFonts w:hint="eastAsia" w:ascii="仿宋_GB2312" w:eastAsia="仿宋_GB2312" w:cs="仿宋_GB2312"/>
          <w:color w:val="000000" w:themeColor="text1"/>
          <w:spacing w:val="-4"/>
          <w:sz w:val="32"/>
          <w:szCs w:val="32"/>
          <w14:textFill>
            <w14:solidFill>
              <w14:schemeClr w14:val="tx1"/>
            </w14:solidFill>
          </w14:textFill>
        </w:rPr>
        <w:t>互联网</w:t>
      </w:r>
      <w:r>
        <w:rPr>
          <w:rFonts w:ascii="仿宋_GB2312" w:eastAsia="仿宋_GB2312" w:cs="仿宋_GB2312"/>
          <w:color w:val="000000" w:themeColor="text1"/>
          <w:spacing w:val="-4"/>
          <w:sz w:val="32"/>
          <w:szCs w:val="32"/>
          <w14:textFill>
            <w14:solidFill>
              <w14:schemeClr w14:val="tx1"/>
            </w14:solidFill>
          </w14:textFill>
        </w:rPr>
        <w:t>+</w:t>
      </w:r>
      <w:r>
        <w:rPr>
          <w:rFonts w:hint="eastAsia" w:ascii="仿宋_GB2312" w:eastAsia="仿宋_GB2312" w:cs="仿宋_GB2312"/>
          <w:color w:val="000000" w:themeColor="text1"/>
          <w:spacing w:val="-4"/>
          <w:sz w:val="32"/>
          <w:szCs w:val="32"/>
          <w14:textFill>
            <w14:solidFill>
              <w14:schemeClr w14:val="tx1"/>
            </w14:solidFill>
          </w14:textFill>
        </w:rPr>
        <w:t>”物流平台</w:t>
      </w:r>
      <w:r>
        <w:rPr>
          <w:rFonts w:hint="eastAsia" w:ascii="仿宋_GB2312" w:eastAsia="仿宋_GB2312" w:cs="仿宋_GB2312"/>
          <w:color w:val="000000" w:themeColor="text1"/>
          <w:spacing w:val="-4"/>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ascii="仿宋_GB2312" w:eastAsia="仿宋_GB2312"/>
          <w:b w:val="0"/>
          <w:bCs w:val="0"/>
          <w:sz w:val="32"/>
          <w:szCs w:val="32"/>
        </w:rPr>
      </w:pPr>
      <w:r>
        <w:rPr>
          <w:rFonts w:hint="eastAsia" w:ascii="楷体_GB2312" w:hAnsi="楷体_GB2312" w:eastAsia="楷体_GB2312" w:cs="楷体_GB2312"/>
          <w:b w:val="0"/>
          <w:bCs w:val="0"/>
          <w:spacing w:val="-4"/>
          <w:sz w:val="32"/>
          <w:szCs w:val="32"/>
        </w:rPr>
        <w:t>第八条</w:t>
      </w:r>
      <w:r>
        <w:rPr>
          <w:rFonts w:ascii="楷体_GB2312" w:hAnsi="楷体_GB2312" w:eastAsia="楷体_GB2312" w:cs="楷体_GB2312"/>
          <w:b w:val="0"/>
          <w:bCs w:val="0"/>
          <w:spacing w:val="-4"/>
          <w:sz w:val="32"/>
          <w:szCs w:val="32"/>
        </w:rPr>
        <w:t xml:space="preserve"> </w:t>
      </w:r>
      <w:r>
        <w:rPr>
          <w:rFonts w:hint="eastAsia" w:ascii="仿宋_GB2312" w:eastAsia="仿宋_GB2312"/>
          <w:b w:val="0"/>
          <w:bCs w:val="0"/>
          <w:color w:val="000000"/>
          <w:sz w:val="32"/>
          <w:szCs w:val="32"/>
        </w:rPr>
        <w:t>本</w:t>
      </w:r>
      <w:r>
        <w:rPr>
          <w:rFonts w:hint="eastAsia" w:ascii="仿宋_GB2312" w:eastAsia="仿宋_GB2312"/>
          <w:b w:val="0"/>
          <w:bCs w:val="0"/>
          <w:sz w:val="32"/>
          <w:szCs w:val="32"/>
        </w:rPr>
        <w:t>办法所称会展业主要包括从事会展业务的企业和社会组织等市场主体、市场化会展项目、会展“一事一议”项目、会展公共服务和其它促进会展业发展的项目。</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ascii="仿宋_GB2312" w:eastAsia="仿宋_GB2312" w:cs="仿宋_GB2312"/>
          <w:spacing w:val="-4"/>
          <w:sz w:val="32"/>
          <w:szCs w:val="32"/>
        </w:rPr>
      </w:pPr>
      <w:r>
        <w:rPr>
          <w:rFonts w:hint="eastAsia" w:ascii="楷体_GB2312" w:hAnsi="楷体_GB2312" w:eastAsia="楷体_GB2312" w:cs="楷体_GB2312"/>
          <w:spacing w:val="-4"/>
          <w:sz w:val="32"/>
          <w:szCs w:val="32"/>
        </w:rPr>
        <w:t>第九条</w:t>
      </w:r>
      <w:r>
        <w:rPr>
          <w:rFonts w:ascii="楷体_GB2312" w:hAnsi="楷体_GB2312" w:eastAsia="楷体_GB2312" w:cs="楷体_GB2312"/>
          <w:spacing w:val="-4"/>
          <w:sz w:val="32"/>
          <w:szCs w:val="32"/>
        </w:rPr>
        <w:t xml:space="preserve"> </w:t>
      </w:r>
      <w:r>
        <w:rPr>
          <w:rFonts w:hint="eastAsia" w:ascii="仿宋_GB2312" w:hAnsi="宋体" w:eastAsia="仿宋_GB2312"/>
          <w:spacing w:val="-6"/>
          <w:sz w:val="32"/>
          <w:szCs w:val="32"/>
        </w:rPr>
        <w:t>本办法所称</w:t>
      </w:r>
      <w:r>
        <w:rPr>
          <w:rFonts w:hint="eastAsia" w:ascii="仿宋_GB2312" w:eastAsia="仿宋_GB2312" w:cs="仿宋_GB2312"/>
          <w:spacing w:val="-4"/>
          <w:sz w:val="32"/>
          <w:szCs w:val="32"/>
        </w:rPr>
        <w:t>服务业新业态新模式包括在线经济、共享经济、平台经济、数字经济、总部经济、产业融合发展等领域（不包括金融，房地产开发）。</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ascii="仿宋_GB2312" w:eastAsia="仿宋_GB2312" w:cs="仿宋_GB2312"/>
          <w:spacing w:val="-4"/>
          <w:sz w:val="32"/>
          <w:szCs w:val="32"/>
        </w:rPr>
      </w:pPr>
      <w:r>
        <w:rPr>
          <w:rFonts w:hint="eastAsia" w:ascii="楷体_GB2312" w:hAnsi="楷体_GB2312" w:eastAsia="楷体_GB2312" w:cs="楷体_GB2312"/>
          <w:spacing w:val="-4"/>
          <w:sz w:val="32"/>
          <w:szCs w:val="32"/>
        </w:rPr>
        <w:t>第十条</w:t>
      </w:r>
      <w:r>
        <w:rPr>
          <w:rFonts w:ascii="楷体_GB2312" w:hAnsi="楷体_GB2312" w:eastAsia="楷体_GB2312" w:cs="楷体_GB2312"/>
          <w:spacing w:val="-4"/>
          <w:sz w:val="32"/>
          <w:szCs w:val="32"/>
        </w:rPr>
        <w:t xml:space="preserve"> </w:t>
      </w:r>
      <w:r>
        <w:rPr>
          <w:rFonts w:hint="eastAsia" w:ascii="仿宋_GB2312" w:hAnsi="宋体" w:eastAsia="仿宋_GB2312"/>
          <w:spacing w:val="-6"/>
          <w:sz w:val="32"/>
          <w:szCs w:val="32"/>
        </w:rPr>
        <w:t>本办法所称</w:t>
      </w:r>
      <w:r>
        <w:rPr>
          <w:rFonts w:hint="eastAsia" w:ascii="仿宋_GB2312" w:eastAsia="仿宋_GB2312" w:cs="仿宋_GB2312"/>
          <w:spacing w:val="-4"/>
          <w:sz w:val="32"/>
          <w:szCs w:val="32"/>
        </w:rPr>
        <w:t>服务业集聚发展领域指</w:t>
      </w:r>
      <w:r>
        <w:rPr>
          <w:rFonts w:hint="eastAsia" w:ascii="仿宋_GB2312" w:hAnsi="仿宋" w:eastAsia="仿宋_GB2312" w:cs="仿宋_GB2312"/>
          <w:bCs/>
          <w:sz w:val="32"/>
          <w:szCs w:val="32"/>
        </w:rPr>
        <w:t>入选省、市级现代服务业集聚示范区的集聚区和</w:t>
      </w:r>
      <w:r>
        <w:rPr>
          <w:rFonts w:hint="eastAsia" w:ascii="仿宋_GB2312" w:eastAsia="仿宋_GB2312" w:cs="仿宋_GB2312"/>
          <w:spacing w:val="-4"/>
          <w:sz w:val="32"/>
          <w:szCs w:val="32"/>
        </w:rPr>
        <w:t>入选浙江省服务业强县（市、区）培育提升行动计划的区县（市）以及楼宇经济提质发展等。</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ascii="仿宋_GB2312" w:eastAsia="仿宋_GB2312" w:cs="仿宋_GB2312"/>
          <w:spacing w:val="-4"/>
          <w:sz w:val="32"/>
          <w:szCs w:val="32"/>
        </w:rPr>
      </w:pPr>
      <w:r>
        <w:rPr>
          <w:rFonts w:hint="eastAsia" w:ascii="楷体_GB2312" w:hAnsi="楷体_GB2312" w:eastAsia="楷体_GB2312" w:cs="楷体_GB2312"/>
          <w:spacing w:val="-4"/>
          <w:sz w:val="32"/>
          <w:szCs w:val="32"/>
        </w:rPr>
        <w:t>第十一条</w:t>
      </w:r>
      <w:r>
        <w:rPr>
          <w:rFonts w:ascii="楷体_GB2312" w:hAnsi="楷体_GB2312" w:eastAsia="楷体_GB2312" w:cs="楷体_GB2312"/>
          <w:spacing w:val="-4"/>
          <w:sz w:val="32"/>
          <w:szCs w:val="32"/>
        </w:rPr>
        <w:t xml:space="preserve"> </w:t>
      </w:r>
      <w:r>
        <w:rPr>
          <w:rFonts w:hint="eastAsia" w:ascii="仿宋_GB2312" w:eastAsia="仿宋_GB2312" w:cs="仿宋_GB2312"/>
          <w:spacing w:val="-4"/>
          <w:sz w:val="32"/>
          <w:szCs w:val="32"/>
        </w:rPr>
        <w:t>本办法所称服务业上规模发展指</w:t>
      </w:r>
      <w:r>
        <w:rPr>
          <w:rFonts w:hint="eastAsia" w:ascii="仿宋_GB2312" w:hAnsi="仿宋_GB2312" w:eastAsia="仿宋_GB2312" w:cs="仿宋_GB2312"/>
          <w:spacing w:val="8"/>
          <w:sz w:val="32"/>
          <w:szCs w:val="32"/>
        </w:rPr>
        <w:t>个体工商户转型小微企业和规模以下服务业小微企业转型升级为规模以上企业。小型、微型企业的划分标准，按照《工业和信息化部、国家统计局、国家发展</w:t>
      </w:r>
      <w:r>
        <w:rPr>
          <w:rFonts w:hint="eastAsia" w:ascii="仿宋_GB2312" w:hAnsi="仿宋_GB2312" w:eastAsia="仿宋_GB2312" w:cs="仿宋_GB2312"/>
          <w:spacing w:val="8"/>
          <w:sz w:val="32"/>
          <w:szCs w:val="32"/>
          <w:lang w:eastAsia="zh-CN"/>
        </w:rPr>
        <w:t>和</w:t>
      </w:r>
      <w:bookmarkStart w:id="0" w:name="_GoBack"/>
      <w:bookmarkEnd w:id="0"/>
      <w:r>
        <w:rPr>
          <w:rFonts w:hint="eastAsia" w:ascii="仿宋_GB2312" w:hAnsi="仿宋_GB2312" w:eastAsia="仿宋_GB2312" w:cs="仿宋_GB2312"/>
          <w:spacing w:val="8"/>
          <w:sz w:val="32"/>
          <w:szCs w:val="32"/>
        </w:rPr>
        <w:t>改革委员会、财政部关于执行中小企业划型标准规定的通知》</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工信部联企业〔</w:t>
      </w:r>
      <w:r>
        <w:rPr>
          <w:rFonts w:ascii="仿宋_GB2312" w:hAnsi="仿宋_GB2312" w:eastAsia="仿宋_GB2312" w:cs="仿宋_GB2312"/>
          <w:spacing w:val="8"/>
          <w:sz w:val="32"/>
          <w:szCs w:val="32"/>
        </w:rPr>
        <w:t>2011</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300</w:t>
      </w:r>
      <w:r>
        <w:rPr>
          <w:rFonts w:hint="eastAsia" w:ascii="仿宋_GB2312" w:hAnsi="仿宋_GB2312" w:eastAsia="仿宋_GB2312" w:cs="仿宋_GB2312"/>
          <w:spacing w:val="8"/>
          <w:sz w:val="32"/>
          <w:szCs w:val="32"/>
        </w:rPr>
        <w:t>号）执行。规模以上企业的划分标准（不包括金融、房地产开发，包括律师事务所等合伙企业</w:t>
      </w:r>
      <w:r>
        <w:rPr>
          <w:rFonts w:hint="eastAsia" w:ascii="仿宋_GB2312" w:hAnsi="仿宋_GB2312" w:eastAsia="仿宋_GB2312" w:cs="仿宋_GB2312"/>
          <w:spacing w:val="8"/>
          <w:sz w:val="32"/>
          <w:szCs w:val="32"/>
          <w:lang w:val="en-US" w:eastAsia="zh-CN"/>
        </w:rPr>
        <w:t>和物业服务等</w:t>
      </w:r>
      <w:r>
        <w:rPr>
          <w:rFonts w:hint="eastAsia" w:ascii="仿宋_GB2312" w:hAnsi="仿宋_GB2312" w:eastAsia="仿宋_GB2312" w:cs="仿宋_GB2312"/>
          <w:spacing w:val="8"/>
          <w:sz w:val="32"/>
          <w:szCs w:val="32"/>
        </w:rPr>
        <w:t>），按照批发业，交通运输、仓储和邮政业，信息传输、软件和信息技术服务，水利、环境和公共设施管理业，卫生等行业为全年营业收入</w:t>
      </w:r>
      <w:r>
        <w:rPr>
          <w:rFonts w:ascii="仿宋_GB2312" w:hAnsi="仿宋_GB2312" w:eastAsia="仿宋_GB2312" w:cs="仿宋_GB2312"/>
          <w:spacing w:val="8"/>
          <w:sz w:val="32"/>
          <w:szCs w:val="32"/>
        </w:rPr>
        <w:t>2000</w:t>
      </w:r>
      <w:r>
        <w:rPr>
          <w:rFonts w:hint="eastAsia" w:ascii="仿宋_GB2312" w:hAnsi="仿宋_GB2312" w:eastAsia="仿宋_GB2312" w:cs="仿宋_GB2312"/>
          <w:spacing w:val="8"/>
          <w:sz w:val="32"/>
          <w:szCs w:val="32"/>
        </w:rPr>
        <w:t>万元及以上，租赁和商务服务业，科学研究和技术服务业，教育，物业管理等行业为全年营业收入</w:t>
      </w:r>
      <w:r>
        <w:rPr>
          <w:rFonts w:ascii="仿宋_GB2312" w:hAnsi="仿宋_GB2312" w:eastAsia="仿宋_GB2312" w:cs="仿宋_GB2312"/>
          <w:spacing w:val="8"/>
          <w:sz w:val="32"/>
          <w:szCs w:val="32"/>
        </w:rPr>
        <w:t>1000</w:t>
      </w:r>
      <w:r>
        <w:rPr>
          <w:rFonts w:hint="eastAsia" w:ascii="仿宋_GB2312" w:hAnsi="仿宋_GB2312" w:eastAsia="仿宋_GB2312" w:cs="仿宋_GB2312"/>
          <w:spacing w:val="8"/>
          <w:sz w:val="32"/>
          <w:szCs w:val="32"/>
        </w:rPr>
        <w:t>万元及以上，零售业，居民服务、修理和其他服务业，文化、体育和娱乐业，社会工作等行业为全年营业收入</w:t>
      </w:r>
      <w:r>
        <w:rPr>
          <w:rFonts w:ascii="仿宋_GB2312" w:hAnsi="仿宋_GB2312" w:eastAsia="仿宋_GB2312" w:cs="仿宋_GB2312"/>
          <w:spacing w:val="8"/>
          <w:sz w:val="32"/>
          <w:szCs w:val="32"/>
        </w:rPr>
        <w:t>500</w:t>
      </w:r>
      <w:r>
        <w:rPr>
          <w:rFonts w:hint="eastAsia" w:ascii="仿宋_GB2312" w:hAnsi="仿宋_GB2312" w:eastAsia="仿宋_GB2312" w:cs="仿宋_GB2312"/>
          <w:spacing w:val="8"/>
          <w:sz w:val="32"/>
          <w:szCs w:val="32"/>
        </w:rPr>
        <w:t>万元及以上，住宿、餐饮业等行业为全年主营业务收入</w:t>
      </w:r>
      <w:r>
        <w:rPr>
          <w:rFonts w:ascii="仿宋_GB2312" w:hAnsi="仿宋_GB2312" w:eastAsia="仿宋_GB2312" w:cs="仿宋_GB2312"/>
          <w:spacing w:val="8"/>
          <w:sz w:val="32"/>
          <w:szCs w:val="32"/>
        </w:rPr>
        <w:t>200</w:t>
      </w:r>
      <w:r>
        <w:rPr>
          <w:rFonts w:hint="eastAsia" w:ascii="仿宋_GB2312" w:hAnsi="仿宋_GB2312" w:eastAsia="仿宋_GB2312" w:cs="仿宋_GB2312"/>
          <w:spacing w:val="8"/>
          <w:sz w:val="32"/>
          <w:szCs w:val="32"/>
        </w:rPr>
        <w:t>万元及以上（根据国民经济行业分类变动及时调整）执行。</w:t>
      </w:r>
    </w:p>
    <w:p>
      <w:pPr>
        <w:keepNext w:val="0"/>
        <w:keepLines w:val="0"/>
        <w:pageBreakBefore w:val="0"/>
        <w:widowControl w:val="0"/>
        <w:kinsoku/>
        <w:wordWrap/>
        <w:overflowPunct/>
        <w:topLinePunct w:val="0"/>
        <w:autoSpaceDE/>
        <w:autoSpaceDN/>
        <w:bidi w:val="0"/>
        <w:adjustRightInd/>
        <w:snapToGrid/>
        <w:spacing w:before="156" w:after="156" w:line="54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章 支持方式和标准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楷体_GB2312" w:hAnsi="楷体_GB2312" w:eastAsia="楷体_GB2312" w:cs="楷体_GB2312"/>
          <w:color w:val="000000"/>
          <w:sz w:val="32"/>
          <w:szCs w:val="32"/>
        </w:rPr>
        <w:t>第十二条</w:t>
      </w:r>
      <w:r>
        <w:rPr>
          <w:rFonts w:ascii="楷体_GB2312" w:hAnsi="楷体_GB2312" w:eastAsia="楷体_GB2312" w:cs="楷体_GB2312"/>
          <w:color w:val="000000"/>
          <w:sz w:val="32"/>
          <w:szCs w:val="32"/>
        </w:rPr>
        <w:t xml:space="preserve"> </w:t>
      </w:r>
      <w:r>
        <w:rPr>
          <w:rFonts w:hint="eastAsia" w:ascii="仿宋_GB2312" w:eastAsia="仿宋_GB2312"/>
          <w:color w:val="000000"/>
          <w:sz w:val="32"/>
          <w:szCs w:val="32"/>
        </w:rPr>
        <w:t>促进物流业提质发展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引进高端港航物流机构。对申报年度（指申请专项资金的上一年度，下同）内引进的实缴资本不低于</w:t>
      </w:r>
      <w:r>
        <w:rPr>
          <w:rFonts w:ascii="仿宋_GB2312" w:eastAsia="仿宋_GB2312"/>
          <w:color w:val="000000"/>
          <w:sz w:val="32"/>
          <w:szCs w:val="32"/>
        </w:rPr>
        <w:t>5000</w:t>
      </w:r>
      <w:r>
        <w:rPr>
          <w:rFonts w:hint="eastAsia" w:ascii="仿宋_GB2312" w:eastAsia="仿宋_GB2312"/>
          <w:color w:val="000000"/>
          <w:sz w:val="32"/>
          <w:szCs w:val="32"/>
        </w:rPr>
        <w:t>万元主要从事航运金融、航运保险、航运交易、国际物流等业务的独立法人企业，实缴资本不低于</w:t>
      </w:r>
      <w:r>
        <w:rPr>
          <w:rFonts w:ascii="仿宋_GB2312" w:eastAsia="仿宋_GB2312"/>
          <w:color w:val="000000"/>
          <w:sz w:val="32"/>
          <w:szCs w:val="32"/>
        </w:rPr>
        <w:t>2000</w:t>
      </w:r>
      <w:r>
        <w:rPr>
          <w:rFonts w:hint="eastAsia" w:ascii="仿宋_GB2312" w:eastAsia="仿宋_GB2312"/>
          <w:color w:val="000000"/>
          <w:sz w:val="32"/>
          <w:szCs w:val="32"/>
        </w:rPr>
        <w:t>万元的船舶登记、船舶管理、船舶供应、船舶代理、船舶维修独立法人企业，以及实缴资本不低于</w:t>
      </w:r>
      <w:r>
        <w:rPr>
          <w:rFonts w:ascii="仿宋_GB2312" w:eastAsia="仿宋_GB2312"/>
          <w:color w:val="000000"/>
          <w:sz w:val="32"/>
          <w:szCs w:val="32"/>
        </w:rPr>
        <w:t>1000</w:t>
      </w:r>
      <w:r>
        <w:rPr>
          <w:rFonts w:hint="eastAsia" w:ascii="仿宋_GB2312" w:eastAsia="仿宋_GB2312"/>
          <w:color w:val="000000"/>
          <w:sz w:val="32"/>
          <w:szCs w:val="32"/>
        </w:rPr>
        <w:t>万元的航运经纪、航运信息、航运咨询、航运人才、航运教育培训独立法人企业和机构，在引进后下一年度起连续</w:t>
      </w:r>
      <w:r>
        <w:rPr>
          <w:rFonts w:ascii="仿宋_GB2312" w:eastAsia="仿宋_GB2312"/>
          <w:color w:val="000000"/>
          <w:sz w:val="32"/>
          <w:szCs w:val="32"/>
        </w:rPr>
        <w:t>2</w:t>
      </w:r>
      <w:r>
        <w:rPr>
          <w:rFonts w:hint="eastAsia" w:ascii="仿宋_GB2312" w:eastAsia="仿宋_GB2312"/>
          <w:color w:val="000000"/>
          <w:sz w:val="32"/>
          <w:szCs w:val="32"/>
        </w:rPr>
        <w:t>年内，按企业对地方财政实际贡献（仅指增值税和企业所得税，下同），给予</w:t>
      </w:r>
      <w:r>
        <w:rPr>
          <w:rFonts w:ascii="仿宋_GB2312" w:eastAsia="仿宋_GB2312"/>
          <w:color w:val="000000"/>
          <w:sz w:val="32"/>
          <w:szCs w:val="32"/>
        </w:rPr>
        <w:t>15%</w:t>
      </w:r>
      <w:r>
        <w:rPr>
          <w:rFonts w:hint="eastAsia" w:ascii="仿宋_GB2312" w:eastAsia="仿宋_GB2312"/>
          <w:color w:val="000000"/>
          <w:sz w:val="32"/>
          <w:szCs w:val="32"/>
        </w:rPr>
        <w:t>的奖励，奖励金额最高不超过</w:t>
      </w:r>
      <w:r>
        <w:rPr>
          <w:rFonts w:ascii="仿宋_GB2312" w:eastAsia="仿宋_GB2312"/>
          <w:color w:val="000000"/>
          <w:sz w:val="32"/>
          <w:szCs w:val="32"/>
        </w:rPr>
        <w:t>2000</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支持重点物流企业（认定办法另行制定）做大做强。鼓励重点物流企业增资扩产，在现有政策享受基础上，对重点物流企业申请之日上一年度主营业务（用于生产经营、建设与改造物流设施、购置物流设备）而向银行贷款</w:t>
      </w:r>
      <w:r>
        <w:rPr>
          <w:rFonts w:hint="eastAsia" w:ascii="仿宋_GB2312" w:eastAsia="仿宋_GB2312"/>
          <w:color w:val="000000"/>
          <w:sz w:val="32"/>
          <w:szCs w:val="32"/>
          <w:lang w:eastAsia="zh-CN"/>
        </w:rPr>
        <w:t>（贷款利率水平不得明显超过同类企业贷款利率）</w:t>
      </w:r>
      <w:r>
        <w:rPr>
          <w:rFonts w:hint="eastAsia" w:ascii="仿宋_GB2312" w:eastAsia="仿宋_GB2312"/>
          <w:color w:val="000000"/>
          <w:sz w:val="32"/>
          <w:szCs w:val="32"/>
        </w:rPr>
        <w:t>所产生的利息进行贴息资助，贴息金额为</w:t>
      </w:r>
      <w:r>
        <w:rPr>
          <w:rFonts w:hint="eastAsia" w:ascii="仿宋_GB2312" w:eastAsia="仿宋_GB2312"/>
          <w:color w:val="000000"/>
          <w:sz w:val="32"/>
          <w:szCs w:val="32"/>
          <w:lang w:eastAsia="zh-CN"/>
        </w:rPr>
        <w:t>该年度</w:t>
      </w:r>
      <w:r>
        <w:rPr>
          <w:rFonts w:hint="eastAsia" w:ascii="仿宋_GB2312" w:eastAsia="仿宋_GB2312"/>
          <w:color w:val="000000"/>
          <w:sz w:val="32"/>
          <w:szCs w:val="32"/>
        </w:rPr>
        <w:t>内企业实际支付银行利息的</w:t>
      </w:r>
      <w:r>
        <w:rPr>
          <w:rFonts w:ascii="仿宋_GB2312" w:eastAsia="仿宋_GB2312"/>
          <w:color w:val="000000"/>
          <w:sz w:val="32"/>
          <w:szCs w:val="32"/>
        </w:rPr>
        <w:t>50%</w:t>
      </w:r>
      <w:r>
        <w:rPr>
          <w:rFonts w:hint="eastAsia" w:ascii="仿宋_GB2312" w:eastAsia="仿宋_GB2312"/>
          <w:color w:val="000000"/>
          <w:sz w:val="32"/>
          <w:szCs w:val="32"/>
        </w:rPr>
        <w:t>，每年最高不超过</w:t>
      </w:r>
      <w:r>
        <w:rPr>
          <w:rFonts w:ascii="仿宋_GB2312" w:eastAsia="仿宋_GB2312"/>
          <w:color w:val="000000"/>
          <w:sz w:val="32"/>
          <w:szCs w:val="32"/>
        </w:rPr>
        <w:t>200</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鼓励企业评级。对在申报年度被评为国家</w:t>
      </w:r>
      <w:r>
        <w:rPr>
          <w:rFonts w:ascii="仿宋_GB2312" w:eastAsia="仿宋_GB2312"/>
          <w:color w:val="000000"/>
          <w:sz w:val="32"/>
          <w:szCs w:val="32"/>
        </w:rPr>
        <w:t>3A</w:t>
      </w:r>
      <w:r>
        <w:rPr>
          <w:rFonts w:hint="eastAsia" w:ascii="仿宋_GB2312" w:eastAsia="仿宋_GB2312"/>
          <w:color w:val="000000"/>
          <w:sz w:val="32"/>
          <w:szCs w:val="32"/>
        </w:rPr>
        <w:t>、</w:t>
      </w:r>
      <w:r>
        <w:rPr>
          <w:rFonts w:ascii="仿宋_GB2312" w:eastAsia="仿宋_GB2312"/>
          <w:color w:val="000000"/>
          <w:sz w:val="32"/>
          <w:szCs w:val="32"/>
        </w:rPr>
        <w:t>4A</w:t>
      </w:r>
      <w:r>
        <w:rPr>
          <w:rFonts w:hint="eastAsia" w:ascii="仿宋_GB2312" w:eastAsia="仿宋_GB2312"/>
          <w:color w:val="000000"/>
          <w:sz w:val="32"/>
          <w:szCs w:val="32"/>
        </w:rPr>
        <w:t>、</w:t>
      </w:r>
      <w:r>
        <w:rPr>
          <w:rFonts w:ascii="仿宋_GB2312" w:eastAsia="仿宋_GB2312"/>
          <w:color w:val="000000"/>
          <w:sz w:val="32"/>
          <w:szCs w:val="32"/>
        </w:rPr>
        <w:t>5A</w:t>
      </w:r>
      <w:r>
        <w:rPr>
          <w:rFonts w:hint="eastAsia" w:ascii="仿宋_GB2312" w:eastAsia="仿宋_GB2312"/>
          <w:color w:val="000000"/>
          <w:sz w:val="32"/>
          <w:szCs w:val="32"/>
        </w:rPr>
        <w:t>级</w:t>
      </w:r>
      <w:r>
        <w:rPr>
          <w:rFonts w:hint="eastAsia" w:ascii="仿宋_GB2312" w:eastAsia="仿宋_GB2312"/>
          <w:color w:val="000000"/>
          <w:sz w:val="32"/>
          <w:szCs w:val="32"/>
          <w:lang w:eastAsia="zh-CN"/>
        </w:rPr>
        <w:t>（</w:t>
      </w:r>
      <w:r>
        <w:rPr>
          <w:rFonts w:hint="eastAsia" w:ascii="仿宋_GB2312" w:hAnsi="Times New Roman" w:eastAsia="仿宋_GB2312" w:cs="Times New Roman"/>
          <w:i w:val="0"/>
          <w:caps w:val="0"/>
          <w:color w:val="333333"/>
          <w:spacing w:val="0"/>
          <w:sz w:val="32"/>
          <w:szCs w:val="32"/>
          <w:shd w:val="clear" w:fill="auto"/>
        </w:rPr>
        <w:t>中国物流与采购联合会</w:t>
      </w:r>
      <w:r>
        <w:rPr>
          <w:rFonts w:hint="eastAsia" w:ascii="仿宋_GB2312" w:hAnsi="Times New Roman" w:eastAsia="仿宋_GB2312" w:cs="Times New Roman"/>
          <w:i w:val="0"/>
          <w:caps w:val="0"/>
          <w:color w:val="333333"/>
          <w:spacing w:val="0"/>
          <w:sz w:val="32"/>
          <w:szCs w:val="32"/>
          <w:shd w:val="clear" w:fill="auto"/>
          <w:lang w:eastAsia="zh-CN"/>
        </w:rPr>
        <w:t>根据相关标准评估发布</w:t>
      </w:r>
      <w:r>
        <w:rPr>
          <w:rFonts w:hint="eastAsia" w:ascii="仿宋_GB2312" w:eastAsia="仿宋_GB2312"/>
          <w:color w:val="000000"/>
          <w:sz w:val="32"/>
          <w:szCs w:val="32"/>
          <w:lang w:eastAsia="zh-CN"/>
        </w:rPr>
        <w:t>）</w:t>
      </w:r>
      <w:r>
        <w:rPr>
          <w:rFonts w:hint="eastAsia" w:ascii="仿宋_GB2312" w:eastAsia="仿宋_GB2312"/>
          <w:color w:val="000000"/>
          <w:sz w:val="32"/>
          <w:szCs w:val="32"/>
        </w:rPr>
        <w:t>的物流企业，分别给予</w:t>
      </w:r>
      <w:r>
        <w:rPr>
          <w:rFonts w:ascii="仿宋_GB2312" w:eastAsia="仿宋_GB2312"/>
          <w:color w:val="000000"/>
          <w:sz w:val="32"/>
          <w:szCs w:val="32"/>
        </w:rPr>
        <w:t>20</w:t>
      </w:r>
      <w:r>
        <w:rPr>
          <w:rFonts w:hint="eastAsia" w:ascii="仿宋_GB2312" w:eastAsia="仿宋_GB2312"/>
          <w:color w:val="000000"/>
          <w:sz w:val="32"/>
          <w:szCs w:val="32"/>
        </w:rPr>
        <w:t>万元、</w:t>
      </w:r>
      <w:r>
        <w:rPr>
          <w:rFonts w:ascii="仿宋_GB2312" w:eastAsia="仿宋_GB2312"/>
          <w:color w:val="000000"/>
          <w:sz w:val="32"/>
          <w:szCs w:val="32"/>
        </w:rPr>
        <w:t>50</w:t>
      </w:r>
      <w:r>
        <w:rPr>
          <w:rFonts w:hint="eastAsia" w:ascii="仿宋_GB2312" w:eastAsia="仿宋_GB2312"/>
          <w:color w:val="000000"/>
          <w:sz w:val="32"/>
          <w:szCs w:val="32"/>
        </w:rPr>
        <w:t>万元、</w:t>
      </w:r>
      <w:r>
        <w:rPr>
          <w:rFonts w:ascii="仿宋_GB2312" w:eastAsia="仿宋_GB2312"/>
          <w:color w:val="000000"/>
          <w:sz w:val="32"/>
          <w:szCs w:val="32"/>
        </w:rPr>
        <w:t>100</w:t>
      </w:r>
      <w:r>
        <w:rPr>
          <w:rFonts w:hint="eastAsia" w:ascii="仿宋_GB2312" w:eastAsia="仿宋_GB2312"/>
          <w:color w:val="000000"/>
          <w:sz w:val="32"/>
          <w:szCs w:val="32"/>
        </w:rPr>
        <w:t>万元一次性奖励。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培育高成长企业。对年主营业务收入在</w:t>
      </w:r>
      <w:r>
        <w:rPr>
          <w:rFonts w:ascii="仿宋_GB2312" w:eastAsia="仿宋_GB2312"/>
          <w:color w:val="000000"/>
          <w:sz w:val="32"/>
          <w:szCs w:val="32"/>
        </w:rPr>
        <w:t>3000</w:t>
      </w:r>
      <w:r>
        <w:rPr>
          <w:rFonts w:hint="eastAsia" w:ascii="仿宋_GB2312" w:eastAsia="仿宋_GB2312"/>
          <w:color w:val="000000"/>
          <w:sz w:val="32"/>
          <w:szCs w:val="32"/>
        </w:rPr>
        <w:t>万元以上、实际上缴税收</w:t>
      </w:r>
      <w:r>
        <w:rPr>
          <w:rFonts w:ascii="仿宋_GB2312" w:eastAsia="仿宋_GB2312"/>
          <w:color w:val="000000"/>
          <w:sz w:val="32"/>
          <w:szCs w:val="32"/>
        </w:rPr>
        <w:t>200</w:t>
      </w:r>
      <w:r>
        <w:rPr>
          <w:rFonts w:hint="eastAsia" w:ascii="仿宋_GB2312" w:eastAsia="仿宋_GB2312"/>
          <w:color w:val="000000"/>
          <w:sz w:val="32"/>
          <w:szCs w:val="32"/>
        </w:rPr>
        <w:t>万元（仅指增值税和企业所得税）以上，且上述两项指标较上年度均增长</w:t>
      </w:r>
      <w:r>
        <w:rPr>
          <w:rFonts w:ascii="仿宋_GB2312" w:eastAsia="仿宋_GB2312"/>
          <w:color w:val="000000"/>
          <w:sz w:val="32"/>
          <w:szCs w:val="32"/>
        </w:rPr>
        <w:t>10%</w:t>
      </w:r>
      <w:r>
        <w:rPr>
          <w:rFonts w:hint="eastAsia" w:ascii="仿宋_GB2312" w:eastAsia="仿宋_GB2312"/>
          <w:color w:val="000000"/>
          <w:sz w:val="32"/>
          <w:szCs w:val="32"/>
        </w:rPr>
        <w:t>（含）以上的物流企业，纳入高成长培育计划，下一年度两项指标增长均达到</w:t>
      </w:r>
      <w:r>
        <w:rPr>
          <w:rFonts w:ascii="仿宋_GB2312" w:eastAsia="仿宋_GB2312"/>
          <w:color w:val="000000"/>
          <w:sz w:val="32"/>
          <w:szCs w:val="32"/>
        </w:rPr>
        <w:t>12%</w:t>
      </w:r>
      <w:r>
        <w:rPr>
          <w:rFonts w:hint="eastAsia" w:ascii="仿宋_GB2312" w:eastAsia="仿宋_GB2312"/>
          <w:color w:val="000000"/>
          <w:sz w:val="32"/>
          <w:szCs w:val="32"/>
        </w:rPr>
        <w:t>以上的，按企业每年对地方财政实际贡献，给予</w:t>
      </w:r>
      <w:r>
        <w:rPr>
          <w:rFonts w:ascii="仿宋_GB2312" w:eastAsia="仿宋_GB2312"/>
          <w:color w:val="000000"/>
          <w:sz w:val="32"/>
          <w:szCs w:val="32"/>
        </w:rPr>
        <w:t>15%</w:t>
      </w:r>
      <w:r>
        <w:rPr>
          <w:rFonts w:hint="eastAsia" w:ascii="仿宋_GB2312" w:eastAsia="仿宋_GB2312"/>
          <w:color w:val="000000"/>
          <w:sz w:val="32"/>
          <w:szCs w:val="32"/>
        </w:rPr>
        <w:t>的奖励，奖励金额最高不超过</w:t>
      </w:r>
      <w:r>
        <w:rPr>
          <w:rFonts w:ascii="仿宋_GB2312" w:eastAsia="仿宋_GB2312"/>
          <w:color w:val="000000"/>
          <w:sz w:val="32"/>
          <w:szCs w:val="32"/>
        </w:rPr>
        <w:t>300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，可连续奖励</w:t>
      </w:r>
      <w:r>
        <w:rPr>
          <w:rFonts w:hint="eastAsia" w:ascii="仿宋_GB2312" w:eastAsia="仿宋_GB2312"/>
          <w:color w:val="000000"/>
          <w:sz w:val="32"/>
          <w:szCs w:val="32"/>
          <w:lang w:val="en-US" w:eastAsia="zh-CN"/>
        </w:rPr>
        <w:t>2年</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支持示范物流园区建设。物流园区通过省级和国家级示范物流园区认定的，奖励政策参照省级现代服务业集聚示范区标准执行，奖励资金由园区统筹用于园区公共基础设施建设及园区进驻企业扶持等方面投入。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扶持“互联网</w:t>
      </w:r>
      <w:r>
        <w:rPr>
          <w:rFonts w:ascii="仿宋_GB2312" w:eastAsia="仿宋_GB2312"/>
          <w:color w:val="000000"/>
          <w:sz w:val="32"/>
          <w:szCs w:val="32"/>
        </w:rPr>
        <w:t>+</w:t>
      </w:r>
      <w:r>
        <w:rPr>
          <w:rFonts w:hint="eastAsia" w:ascii="仿宋_GB2312" w:eastAsia="仿宋_GB2312"/>
          <w:color w:val="000000"/>
          <w:sz w:val="32"/>
          <w:szCs w:val="32"/>
        </w:rPr>
        <w:t>”物流平台。经审核认定后，对投资（设备、</w:t>
      </w:r>
      <w:r>
        <w:rPr>
          <w:rFonts w:hint="eastAsia" w:ascii="仿宋_GB2312" w:eastAsia="仿宋_GB2312"/>
          <w:color w:val="000000"/>
          <w:sz w:val="32"/>
          <w:szCs w:val="32"/>
          <w:lang w:eastAsia="zh-CN"/>
        </w:rPr>
        <w:t>外购</w:t>
      </w:r>
      <w:r>
        <w:rPr>
          <w:rFonts w:hint="eastAsia" w:ascii="仿宋_GB2312" w:eastAsia="仿宋_GB2312"/>
          <w:color w:val="000000"/>
          <w:sz w:val="32"/>
          <w:szCs w:val="32"/>
        </w:rPr>
        <w:t>技术及软件）</w:t>
      </w:r>
      <w:r>
        <w:rPr>
          <w:rFonts w:hint="eastAsia" w:ascii="仿宋_GB2312" w:eastAsia="仿宋_GB2312"/>
          <w:color w:val="000000"/>
          <w:sz w:val="32"/>
          <w:szCs w:val="32"/>
          <w:lang w:eastAsia="zh-CN"/>
        </w:rPr>
        <w:t>达到</w:t>
      </w:r>
      <w:r>
        <w:rPr>
          <w:rFonts w:hint="eastAsia" w:ascii="仿宋_GB2312" w:eastAsia="仿宋_GB2312"/>
          <w:color w:val="000000"/>
          <w:sz w:val="32"/>
          <w:szCs w:val="32"/>
          <w:lang w:val="en-US" w:eastAsia="zh-CN"/>
        </w:rPr>
        <w:t>1</w:t>
      </w:r>
      <w:r>
        <w:rPr>
          <w:rFonts w:ascii="仿宋_GB2312" w:eastAsia="仿宋_GB2312"/>
          <w:color w:val="000000"/>
          <w:sz w:val="32"/>
          <w:szCs w:val="32"/>
        </w:rPr>
        <w:t>00</w:t>
      </w:r>
      <w:r>
        <w:rPr>
          <w:rFonts w:hint="eastAsia" w:ascii="仿宋_GB2312" w:eastAsia="仿宋_GB2312"/>
          <w:color w:val="000000"/>
          <w:sz w:val="32"/>
          <w:szCs w:val="32"/>
        </w:rPr>
        <w:t>万元的项目，按照实际投资额</w:t>
      </w:r>
      <w:r>
        <w:rPr>
          <w:rFonts w:hint="eastAsia" w:ascii="仿宋_GB2312" w:eastAsia="仿宋_GB2312"/>
          <w:color w:val="000000"/>
          <w:sz w:val="32"/>
          <w:szCs w:val="32"/>
          <w:lang w:val="en-US" w:eastAsia="zh-CN"/>
        </w:rPr>
        <w:t>3</w:t>
      </w:r>
      <w:r>
        <w:rPr>
          <w:rFonts w:ascii="仿宋_GB2312" w:eastAsia="仿宋_GB2312"/>
          <w:color w:val="000000"/>
          <w:sz w:val="32"/>
          <w:szCs w:val="32"/>
        </w:rPr>
        <w:t>0%</w:t>
      </w:r>
      <w:r>
        <w:rPr>
          <w:rFonts w:hint="eastAsia" w:ascii="仿宋_GB2312" w:eastAsia="仿宋_GB2312"/>
          <w:color w:val="000000"/>
          <w:sz w:val="32"/>
          <w:szCs w:val="32"/>
        </w:rPr>
        <w:t>给予补助，单个项目最高补助不超过</w:t>
      </w:r>
      <w:r>
        <w:rPr>
          <w:rFonts w:ascii="仿宋_GB2312" w:eastAsia="仿宋_GB2312"/>
          <w:color w:val="000000"/>
          <w:sz w:val="32"/>
          <w:szCs w:val="32"/>
        </w:rPr>
        <w:t>200</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支持物流智能化改造升级。对物流企业更新应用自动化仓储、分拣、搬运（不含运输车辆）、装卸等装备投入</w:t>
      </w:r>
      <w:r>
        <w:rPr>
          <w:rFonts w:hint="eastAsia" w:ascii="仿宋_GB2312" w:eastAsia="仿宋_GB2312"/>
          <w:color w:val="000000"/>
          <w:sz w:val="32"/>
          <w:szCs w:val="32"/>
          <w:lang w:eastAsia="zh-CN"/>
        </w:rPr>
        <w:t>达到</w:t>
      </w:r>
      <w:r>
        <w:rPr>
          <w:rFonts w:ascii="仿宋_GB2312" w:eastAsia="仿宋_GB2312"/>
          <w:color w:val="000000"/>
          <w:sz w:val="32"/>
          <w:szCs w:val="32"/>
        </w:rPr>
        <w:t>500</w:t>
      </w:r>
      <w:r>
        <w:rPr>
          <w:rFonts w:hint="eastAsia" w:ascii="仿宋_GB2312" w:eastAsia="仿宋_GB2312"/>
          <w:color w:val="000000"/>
          <w:sz w:val="32"/>
          <w:szCs w:val="32"/>
        </w:rPr>
        <w:t>万元的，按照实际投资额</w:t>
      </w:r>
      <w:r>
        <w:rPr>
          <w:rFonts w:ascii="仿宋_GB2312" w:eastAsia="仿宋_GB2312"/>
          <w:color w:val="000000"/>
          <w:sz w:val="32"/>
          <w:szCs w:val="32"/>
        </w:rPr>
        <w:t>20%</w:t>
      </w:r>
      <w:r>
        <w:rPr>
          <w:rFonts w:hint="eastAsia" w:ascii="仿宋_GB2312" w:eastAsia="仿宋_GB2312"/>
          <w:color w:val="000000"/>
          <w:sz w:val="32"/>
          <w:szCs w:val="32"/>
        </w:rPr>
        <w:t>给予补助，单个项目最高补助不超过</w:t>
      </w:r>
      <w:r>
        <w:rPr>
          <w:rFonts w:ascii="仿宋_GB2312" w:eastAsia="仿宋_GB2312"/>
          <w:color w:val="000000"/>
          <w:sz w:val="32"/>
          <w:szCs w:val="32"/>
        </w:rPr>
        <w:t>1000</w:t>
      </w:r>
      <w:r>
        <w:rPr>
          <w:rFonts w:hint="eastAsia" w:ascii="仿宋_GB2312" w:eastAsia="仿宋_GB2312"/>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color w:val="000000" w:themeColor="text1"/>
          <w14:textFill>
            <w14:solidFill>
              <w14:schemeClr w14:val="tx1"/>
            </w14:solidFill>
          </w14:textFill>
        </w:rPr>
      </w:pPr>
      <w:r>
        <w:rPr>
          <w:rFonts w:ascii="仿宋_GB2312" w:eastAsia="仿宋_GB2312"/>
          <w:color w:val="000000"/>
          <w:sz w:val="32"/>
          <w:szCs w:val="32"/>
        </w:rPr>
        <w:t>8.</w:t>
      </w:r>
      <w:r>
        <w:rPr>
          <w:rFonts w:hint="eastAsia" w:ascii="仿宋_GB2312" w:eastAsia="仿宋_GB2312"/>
          <w:color w:val="000000"/>
          <w:sz w:val="32"/>
          <w:szCs w:val="32"/>
        </w:rPr>
        <w:t>支持冷链物流发展。对投资（冷链运输车辆、冷链物流装备、全程温度监控设备、信息平台）</w:t>
      </w:r>
      <w:r>
        <w:rPr>
          <w:rFonts w:hint="eastAsia" w:ascii="仿宋_GB2312" w:eastAsia="仿宋_GB2312"/>
          <w:color w:val="000000"/>
          <w:sz w:val="32"/>
          <w:szCs w:val="32"/>
          <w:lang w:eastAsia="zh-CN"/>
        </w:rPr>
        <w:t>达到</w:t>
      </w:r>
      <w:r>
        <w:rPr>
          <w:rFonts w:ascii="仿宋_GB2312" w:eastAsia="仿宋_GB2312"/>
          <w:color w:val="000000"/>
          <w:sz w:val="32"/>
          <w:szCs w:val="32"/>
        </w:rPr>
        <w:t>300</w:t>
      </w:r>
      <w:r>
        <w:rPr>
          <w:rFonts w:hint="eastAsia" w:ascii="仿宋_GB2312" w:eastAsia="仿宋_GB2312"/>
          <w:color w:val="000000"/>
          <w:sz w:val="32"/>
          <w:szCs w:val="32"/>
        </w:rPr>
        <w:t>万元的冷链物流项目，按照实际投资额</w:t>
      </w:r>
      <w:r>
        <w:rPr>
          <w:rFonts w:ascii="仿宋_GB2312" w:eastAsia="仿宋_GB2312"/>
          <w:color w:val="000000"/>
          <w:sz w:val="32"/>
          <w:szCs w:val="32"/>
        </w:rPr>
        <w:t>20%</w:t>
      </w:r>
      <w:r>
        <w:rPr>
          <w:rFonts w:hint="eastAsia" w:ascii="仿宋_GB2312" w:eastAsia="仿宋_GB2312"/>
          <w:color w:val="000000"/>
          <w:sz w:val="32"/>
          <w:szCs w:val="32"/>
        </w:rPr>
        <w:t>给予补助，最高补助不超过</w:t>
      </w:r>
      <w:r>
        <w:rPr>
          <w:rFonts w:ascii="仿宋_GB2312" w:eastAsia="仿宋_GB2312"/>
          <w:color w:val="000000"/>
          <w:sz w:val="32"/>
          <w:szCs w:val="32"/>
        </w:rPr>
        <w:t>300</w:t>
      </w:r>
      <w:r>
        <w:rPr>
          <w:rFonts w:hint="eastAsia" w:ascii="仿宋_GB2312"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第十三条</w:t>
      </w:r>
      <w:r>
        <w:rPr>
          <w:rFonts w:hint="eastAsia" w:ascii="仿宋_GB2312" w:eastAsia="仿宋_GB2312"/>
          <w:b w:val="0"/>
          <w:bCs w:val="0"/>
          <w:sz w:val="32"/>
          <w:szCs w:val="32"/>
          <w:lang w:val="en-US" w:eastAsia="zh-CN"/>
        </w:rPr>
        <w:t xml:space="preserve"> 加快会展业提升发展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1.对在宁波国际会展中心新办展期不少于3天且未获取市本级其它相关财政资金的市场化展会补助标准：贸易类展会以展览面积8000平方米补助32万元为起点，每增加2000平方米增加补助8万元，最高不超过200万元。消费类展会以展览面积 12000平方米补助23万元为起点，每增加2000平方米增加补助3万元，最高不超过80万元。其中，前4年（届）按核定补助金额全额补助，后3年（届）分别按核定补助金额80%、60%、40%递减补助。对符合“246”万千亿级产业集群、“3433”服务业倍增发展和重点领域新兴产业等相关重点题材的贸易类展会，按当年（届）展会的展览面积核定补助金额上浮20%。对在七、八月份举办的展会，按当年（届）展会的展览面积核定补助金额上浮10%。对之前按甬展办发〔2017〕1号文件补助期未满的原有展会和本办法发文之前已向宁波国际会展中心确认办展档期、交付定金将新办的展会，可参照甬展办发〔2017〕1号文件给予过渡性补助一年（届），以后按本办法标准接续补助至期满。同一市场主体举办同一题材的展会一年补助一届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鼓励在宁波国际会展中心举办的市本级政府性展会转向市场化运作，从转向市场化举办之年起前三年（届）参照本条款第1项按展览面积核定的补助标准每年（届）分别给予2倍、1.8倍、1.5倍过渡性递减补助，以后视作并参照新办的市场化展会补助标准继续给予补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3.鼓励在宁波国际会展中心举办的补助期已满的贸易类展会不断做大规模，以历届最大展览面积为基准，每增加2000平方米给予20万元展览面积增量补助，每年（届）最高不超过80万元。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4.对在宁波行政区域内举办会期不少于2天（住宿2夜及以上）、参会人数300人及以上，且未获取本市各级其它相关财政资金的市场化会议，以住宿300间夜数补助10万元为起点，每增加100间夜数增加补助3万元，最高不超过50万元。其中，对国家级、全国性的学会、协会等社会组织，中央直属企业、世界500强企业、国内民营经济前百强企业（上年度排名）等机构或企业举办的主题符合“246”、“3433”产业和教育、医疗、科技、信息等领域，且住宿在500间夜数及以上的会议，按上述标准给予两倍补助。对符合补助条件并有境外人员参加的会议，另按每20名境外人员增加4万元补助，依次类推，此项增加补助最高不超过20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5.对在宁波市行政区域内注册、以会展为主营业务、年营收已达到2000万元及以上的依法纳税企业，年营收比上年每增长20%一次性补助20万元，最高不超过60万元。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6.对在宁波国际会展中心举办的补助期已满且展览面积达到30000平方米及以上的规模性展会，贸易类和消费类展会分别按当年（届）展览面积核定补助金额的50%、25%给予奖励。同一市场主体举办同一题材的展会一年奖励一届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7.对注册落户宁波市行政区域内市场主体在宁波国际会展中心举办的展会取得全球展览业协会（UFI）认证的，一次性给予30万元奖励。新引进市外已获得UFI认证的展会来宁波国际会展中心举办的，在补助期内按届另给予20万元奖励。对符合补助条件并纳入国际大会及会议协会（ICCA）统计范围的会议项目，每次另给予15万元奖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8.对招引符合补助条件的新展会来甬举办的第三方机构，分别按首届核定补助金额10%直接给予第三方机构一次性奖励，最高不超过20万元。招引一个新展会只能由一家第三方机构提出申报奖励。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9.对国内外知名会展企业总部来甬落户或设立分支机构、培育引进重大会展项目、设立“会展基地”、与对口地区会展业合作、举办全国性或区域性会展行业会议等相关活动，推动智慧会展发展、生态绿色搭建等促进会展业发展的其它重要事项，可申报“一事一议”资金补助，并经市政府同意后实施。其中，享受“一事一议”政策期间的会展项目，除合约要求之外，分别不再同时享受第1、2、3、4、6、7、8项相关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b w:val="0"/>
          <w:bCs w:val="0"/>
          <w:color w:val="000000" w:themeColor="text1"/>
          <w:sz w:val="32"/>
          <w:szCs w:val="32"/>
          <w:highlight w:val="none"/>
          <w:lang w:val="en-US" w:eastAsia="zh-CN"/>
          <w14:textFill>
            <w14:solidFill>
              <w14:schemeClr w14:val="tx1"/>
            </w14:solidFill>
          </w14:textFill>
        </w:rPr>
      </w:pP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10.对宁波国际会展中心服务工作实施年度目标考核，根据考核结果，每年度给予不超过200万元的资金补助。</w:t>
      </w:r>
    </w:p>
    <w:p>
      <w:pPr>
        <w:keepNext w:val="0"/>
        <w:keepLines w:val="0"/>
        <w:pageBreakBefore w:val="0"/>
        <w:widowControl w:val="0"/>
        <w:kinsoku/>
        <w:wordWrap/>
        <w:overflowPunct/>
        <w:topLinePunct w:val="0"/>
        <w:autoSpaceDE/>
        <w:autoSpaceDN/>
        <w:bidi w:val="0"/>
        <w:adjustRightInd/>
        <w:snapToGrid/>
        <w:spacing w:line="540" w:lineRule="exact"/>
        <w:ind w:firstLine="608"/>
        <w:textAlignment w:val="auto"/>
        <w:outlineLvl w:val="9"/>
        <w:rPr>
          <w:rFonts w:hint="eastAsia" w:ascii="仿宋_GB2312" w:hAnsi="宋体" w:eastAsia="仿宋_GB2312"/>
          <w:spacing w:val="-6"/>
          <w:sz w:val="32"/>
          <w:szCs w:val="32"/>
          <w:lang w:val="en-US" w:eastAsia="zh-CN"/>
        </w:rPr>
      </w:pPr>
      <w:r>
        <w:rPr>
          <w:rFonts w:hint="eastAsia" w:ascii="楷体_GB2312" w:hAnsi="楷体_GB2312" w:eastAsia="楷体_GB2312" w:cs="楷体_GB2312"/>
          <w:sz w:val="32"/>
          <w:szCs w:val="32"/>
          <w:lang w:val="en-US" w:eastAsia="zh-CN"/>
        </w:rPr>
        <w:t xml:space="preserve">第十四条 </w:t>
      </w:r>
      <w:r>
        <w:rPr>
          <w:rFonts w:hint="eastAsia" w:ascii="仿宋_GB2312" w:hAnsi="宋体" w:eastAsia="仿宋_GB2312"/>
          <w:spacing w:val="-6"/>
          <w:sz w:val="32"/>
          <w:szCs w:val="32"/>
          <w:lang w:val="en-US" w:eastAsia="zh-CN"/>
        </w:rPr>
        <w:t>激励服务业新业态新模式创新发展</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仿宋_GB2312" w:eastAsia="仿宋_GB2312"/>
          <w:sz w:val="32"/>
          <w:szCs w:val="32"/>
        </w:rPr>
      </w:pPr>
      <w:r>
        <w:rPr>
          <w:rFonts w:hint="eastAsia" w:ascii="仿宋_GB2312" w:eastAsia="仿宋_GB2312" w:cs="仿宋_GB2312"/>
          <w:spacing w:val="-4"/>
          <w:sz w:val="32"/>
          <w:szCs w:val="32"/>
        </w:rPr>
        <w:t>1.</w:t>
      </w:r>
      <w:r>
        <w:rPr>
          <w:rFonts w:hint="eastAsia" w:ascii="仿宋_GB2312" w:eastAsia="仿宋_GB2312"/>
          <w:sz w:val="32"/>
          <w:szCs w:val="32"/>
          <w:lang w:val="en-US" w:eastAsia="zh-CN"/>
        </w:rPr>
        <w:t>对</w:t>
      </w:r>
      <w:r>
        <w:rPr>
          <w:rFonts w:hint="eastAsia" w:ascii="仿宋_GB2312" w:eastAsia="仿宋_GB2312"/>
          <w:sz w:val="32"/>
          <w:szCs w:val="32"/>
        </w:rPr>
        <w:t>在宁波大市范围内工商登记注册，且具有独立法人资格的住宿餐饮、批发零售、交通物流、文</w:t>
      </w:r>
      <w:r>
        <w:rPr>
          <w:rFonts w:hint="eastAsia" w:ascii="仿宋_GB2312" w:eastAsia="仿宋_GB2312"/>
          <w:sz w:val="32"/>
          <w:szCs w:val="32"/>
          <w:lang w:val="en-US" w:eastAsia="zh-CN"/>
        </w:rPr>
        <w:t>化创意、</w:t>
      </w:r>
      <w:r>
        <w:rPr>
          <w:rFonts w:hint="eastAsia" w:ascii="仿宋_GB2312" w:eastAsia="仿宋_GB2312"/>
          <w:sz w:val="32"/>
          <w:szCs w:val="32"/>
        </w:rPr>
        <w:t>旅游</w:t>
      </w:r>
      <w:r>
        <w:rPr>
          <w:rFonts w:hint="eastAsia" w:ascii="仿宋_GB2312" w:eastAsia="仿宋_GB2312"/>
          <w:sz w:val="32"/>
          <w:szCs w:val="32"/>
          <w:lang w:val="en-US" w:eastAsia="zh-CN"/>
        </w:rPr>
        <w:t>休闲</w:t>
      </w:r>
      <w:r>
        <w:rPr>
          <w:rFonts w:hint="eastAsia" w:ascii="仿宋_GB2312" w:eastAsia="仿宋_GB2312"/>
          <w:sz w:val="32"/>
          <w:szCs w:val="32"/>
        </w:rPr>
        <w:t>、</w:t>
      </w:r>
      <w:r>
        <w:rPr>
          <w:rFonts w:hint="eastAsia" w:ascii="仿宋_GB2312" w:eastAsia="仿宋_GB2312"/>
          <w:sz w:val="32"/>
          <w:szCs w:val="32"/>
          <w:lang w:val="en-US" w:eastAsia="zh-CN"/>
        </w:rPr>
        <w:t>科技及软件信息、商务服务、</w:t>
      </w:r>
      <w:r>
        <w:rPr>
          <w:rFonts w:hint="eastAsia" w:ascii="仿宋_GB2312" w:eastAsia="仿宋_GB2312"/>
          <w:sz w:val="32"/>
          <w:szCs w:val="32"/>
        </w:rPr>
        <w:t>会议展览、教育培训</w:t>
      </w:r>
      <w:r>
        <w:rPr>
          <w:rFonts w:hint="eastAsia" w:ascii="仿宋_GB2312" w:eastAsia="仿宋_GB2312"/>
          <w:sz w:val="32"/>
          <w:szCs w:val="32"/>
          <w:lang w:eastAsia="zh-CN"/>
        </w:rPr>
        <w:t>、</w:t>
      </w:r>
      <w:r>
        <w:rPr>
          <w:rFonts w:hint="eastAsia" w:ascii="仿宋_GB2312" w:eastAsia="仿宋_GB2312"/>
          <w:sz w:val="32"/>
          <w:szCs w:val="32"/>
          <w:lang w:val="en-US" w:eastAsia="zh-CN"/>
        </w:rPr>
        <w:t>健康养老、运动健身、</w:t>
      </w:r>
      <w:r>
        <w:rPr>
          <w:rFonts w:hint="eastAsia" w:ascii="仿宋_GB2312" w:eastAsia="仿宋_GB2312"/>
          <w:sz w:val="32"/>
          <w:szCs w:val="32"/>
        </w:rPr>
        <w:t>家庭服务</w:t>
      </w:r>
      <w:r>
        <w:rPr>
          <w:rFonts w:hint="eastAsia" w:ascii="仿宋_GB2312" w:eastAsia="仿宋_GB2312"/>
          <w:sz w:val="32"/>
          <w:szCs w:val="32"/>
          <w:lang w:eastAsia="zh-CN"/>
        </w:rPr>
        <w:t>、</w:t>
      </w:r>
      <w:r>
        <w:rPr>
          <w:rFonts w:hint="eastAsia" w:ascii="仿宋_GB2312" w:eastAsia="仿宋_GB2312"/>
          <w:sz w:val="32"/>
          <w:szCs w:val="32"/>
          <w:lang w:val="en-US" w:eastAsia="zh-CN"/>
        </w:rPr>
        <w:t>房地产租赁和物业服务</w:t>
      </w:r>
      <w:r>
        <w:rPr>
          <w:rFonts w:hint="eastAsia" w:ascii="仿宋_GB2312" w:eastAsia="仿宋_GB2312"/>
          <w:sz w:val="32"/>
          <w:szCs w:val="32"/>
        </w:rPr>
        <w:t>等领域中小微企业</w:t>
      </w:r>
      <w:r>
        <w:rPr>
          <w:rFonts w:hint="eastAsia" w:ascii="仿宋_GB2312" w:eastAsia="仿宋_GB2312"/>
          <w:sz w:val="32"/>
          <w:szCs w:val="32"/>
          <w:lang w:val="en-US" w:eastAsia="zh-CN"/>
        </w:rPr>
        <w:t>以及律师事务所等合伙企业</w:t>
      </w:r>
      <w:r>
        <w:rPr>
          <w:rFonts w:hint="eastAsia" w:ascii="仿宋_GB2312" w:eastAsia="仿宋_GB2312"/>
          <w:sz w:val="32"/>
          <w:szCs w:val="32"/>
          <w:lang w:eastAsia="zh-CN"/>
        </w:rPr>
        <w:t>，</w:t>
      </w:r>
      <w:r>
        <w:rPr>
          <w:rFonts w:hint="eastAsia" w:ascii="仿宋_GB2312" w:eastAsia="仿宋_GB2312"/>
          <w:sz w:val="32"/>
          <w:szCs w:val="32"/>
        </w:rPr>
        <w:t>新开发APP或利用互联网实现线上线下融合发展业务</w:t>
      </w:r>
      <w:r>
        <w:rPr>
          <w:rFonts w:hint="eastAsia" w:ascii="仿宋_GB2312" w:eastAsia="仿宋_GB2312"/>
          <w:sz w:val="32"/>
          <w:szCs w:val="32"/>
          <w:lang w:val="en-US" w:eastAsia="zh-CN"/>
        </w:rPr>
        <w:t>的</w:t>
      </w:r>
      <w:r>
        <w:rPr>
          <w:rFonts w:hint="eastAsia" w:ascii="仿宋_GB2312" w:eastAsia="仿宋_GB2312"/>
          <w:sz w:val="32"/>
          <w:szCs w:val="32"/>
        </w:rPr>
        <w:t>，</w:t>
      </w:r>
      <w:r>
        <w:rPr>
          <w:rFonts w:hint="eastAsia" w:ascii="仿宋_GB2312" w:eastAsia="仿宋_GB2312"/>
          <w:sz w:val="32"/>
          <w:szCs w:val="32"/>
          <w:lang w:val="en-US" w:eastAsia="zh-CN"/>
        </w:rPr>
        <w:t>按照企业投入</w:t>
      </w:r>
      <w:r>
        <w:rPr>
          <w:rFonts w:hint="eastAsia" w:ascii="仿宋_GB2312" w:hAnsi="仿宋_GB2312" w:eastAsia="仿宋_GB2312" w:cs="仿宋_GB2312"/>
          <w:sz w:val="32"/>
          <w:szCs w:val="32"/>
          <w:u w:val="none"/>
          <w:lang w:val="en-US" w:eastAsia="zh-CN"/>
        </w:rPr>
        <w:t>100万元及以上（包括外购设备、技术、软件投入）</w:t>
      </w:r>
      <w:r>
        <w:rPr>
          <w:rFonts w:hint="eastAsia" w:ascii="仿宋_GB2312" w:eastAsia="仿宋_GB2312"/>
          <w:sz w:val="32"/>
          <w:szCs w:val="32"/>
        </w:rPr>
        <w:t>给予</w:t>
      </w:r>
      <w:r>
        <w:rPr>
          <w:rFonts w:hint="eastAsia" w:ascii="仿宋_GB2312" w:eastAsia="仿宋_GB2312"/>
          <w:sz w:val="32"/>
          <w:szCs w:val="32"/>
          <w:lang w:val="en-US" w:eastAsia="zh-CN"/>
        </w:rPr>
        <w:t>20</w:t>
      </w:r>
      <w:r>
        <w:rPr>
          <w:rFonts w:hint="eastAsia" w:ascii="仿宋_GB2312" w:eastAsia="仿宋_GB2312"/>
          <w:sz w:val="32"/>
          <w:szCs w:val="32"/>
        </w:rPr>
        <w:t>%技改补助，</w:t>
      </w:r>
      <w:r>
        <w:rPr>
          <w:rFonts w:hint="eastAsia" w:ascii="仿宋_GB2312" w:eastAsia="仿宋_GB2312"/>
          <w:sz w:val="32"/>
          <w:szCs w:val="32"/>
          <w:lang w:val="en-US" w:eastAsia="zh-CN"/>
        </w:rPr>
        <w:t>每家</w:t>
      </w:r>
      <w:r>
        <w:rPr>
          <w:rFonts w:hint="eastAsia" w:ascii="仿宋_GB2312" w:eastAsia="仿宋_GB2312"/>
          <w:sz w:val="32"/>
          <w:szCs w:val="32"/>
        </w:rPr>
        <w:t>最高不超过</w:t>
      </w:r>
      <w:r>
        <w:rPr>
          <w:rFonts w:hint="eastAsia" w:ascii="仿宋_GB2312" w:eastAsia="仿宋_GB2312"/>
          <w:sz w:val="32"/>
          <w:szCs w:val="32"/>
          <w:lang w:val="en-US" w:eastAsia="zh-CN"/>
        </w:rPr>
        <w:t>500</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ascii="仿宋_GB2312" w:eastAsia="仿宋_GB2312"/>
          <w:sz w:val="32"/>
          <w:szCs w:val="32"/>
          <w:lang w:val="en-US" w:eastAsia="zh-CN"/>
        </w:rPr>
        <w:t>2.</w:t>
      </w:r>
      <w:r>
        <w:rPr>
          <w:rFonts w:hint="eastAsia" w:ascii="仿宋_GB2312" w:eastAsia="仿宋_GB2312" w:cs="仿宋_GB2312"/>
          <w:spacing w:val="-4"/>
          <w:sz w:val="32"/>
          <w:szCs w:val="32"/>
        </w:rPr>
        <w:t>对新引进福布斯最新发布的世界</w:t>
      </w:r>
      <w:r>
        <w:rPr>
          <w:rFonts w:ascii="仿宋_GB2312" w:eastAsia="仿宋_GB2312" w:cs="仿宋_GB2312"/>
          <w:spacing w:val="-4"/>
          <w:sz w:val="32"/>
          <w:szCs w:val="32"/>
        </w:rPr>
        <w:t>500</w:t>
      </w:r>
      <w:r>
        <w:rPr>
          <w:rFonts w:hint="eastAsia" w:ascii="仿宋_GB2312" w:eastAsia="仿宋_GB2312" w:cs="仿宋_GB2312"/>
          <w:spacing w:val="-4"/>
          <w:sz w:val="32"/>
          <w:szCs w:val="32"/>
        </w:rPr>
        <w:t>强，中国企业联合会和中国企业家协会最新发布的中国企业、中国制造业、中国服务业企业</w:t>
      </w:r>
      <w:r>
        <w:rPr>
          <w:rFonts w:ascii="仿宋_GB2312" w:eastAsia="仿宋_GB2312" w:cs="仿宋_GB2312"/>
          <w:spacing w:val="-4"/>
          <w:sz w:val="32"/>
          <w:szCs w:val="32"/>
        </w:rPr>
        <w:t>500</w:t>
      </w:r>
      <w:r>
        <w:rPr>
          <w:rFonts w:hint="eastAsia" w:ascii="仿宋_GB2312" w:eastAsia="仿宋_GB2312" w:cs="仿宋_GB2312"/>
          <w:spacing w:val="-4"/>
          <w:sz w:val="32"/>
          <w:szCs w:val="32"/>
        </w:rPr>
        <w:t>强企业总部、销售公司、地区总部或研发中心、采购中心、销售中心、结算中心等分支机构，扶持政策按</w:t>
      </w:r>
      <w:r>
        <w:rPr>
          <w:rFonts w:hint="eastAsia" w:ascii="仿宋_GB2312" w:eastAsia="仿宋_GB2312"/>
          <w:sz w:val="32"/>
          <w:szCs w:val="32"/>
        </w:rPr>
        <w:t>《宁波市重大招商引资项目管理实施办法》实行。</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pacing w:val="-4"/>
          <w:sz w:val="32"/>
          <w:szCs w:val="32"/>
          <w:lang w:val="en-US" w:eastAsia="zh-CN"/>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cs="仿宋_GB2312"/>
          <w:spacing w:val="-4"/>
          <w:sz w:val="32"/>
          <w:szCs w:val="32"/>
        </w:rPr>
        <w:t>对在线经济、共享经济、平台经济、数字经济、总部经济、产业融合等领域的准独角兽企业，采取“一事一议”的方式</w:t>
      </w:r>
      <w:r>
        <w:rPr>
          <w:rFonts w:hint="eastAsia" w:ascii="仿宋_GB2312" w:eastAsia="仿宋_GB2312" w:cs="仿宋_GB2312"/>
          <w:spacing w:val="-4"/>
          <w:sz w:val="32"/>
          <w:szCs w:val="32"/>
          <w:lang w:val="en-US" w:eastAsia="zh-CN"/>
        </w:rPr>
        <w:t>报市政府同意后</w:t>
      </w:r>
      <w:r>
        <w:rPr>
          <w:rFonts w:hint="eastAsia" w:ascii="仿宋_GB2312" w:eastAsia="仿宋_GB2312" w:cs="仿宋_GB2312"/>
          <w:spacing w:val="-4"/>
          <w:sz w:val="32"/>
          <w:szCs w:val="32"/>
        </w:rPr>
        <w:t>给予补助。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pacing w:val="-6"/>
          <w:sz w:val="32"/>
          <w:szCs w:val="32"/>
          <w:lang w:val="en-US" w:eastAsia="zh-CN"/>
        </w:rPr>
      </w:pPr>
      <w:r>
        <w:rPr>
          <w:rFonts w:hint="eastAsia" w:ascii="楷体_GB2312" w:hAnsi="楷体_GB2312" w:eastAsia="楷体_GB2312" w:cs="楷体_GB2312"/>
          <w:sz w:val="32"/>
          <w:szCs w:val="32"/>
          <w:lang w:val="en-US" w:eastAsia="zh-CN"/>
        </w:rPr>
        <w:t xml:space="preserve">第十五条 </w:t>
      </w:r>
      <w:r>
        <w:rPr>
          <w:rFonts w:hint="eastAsia" w:ascii="仿宋_GB2312" w:hAnsi="宋体" w:eastAsia="仿宋_GB2312"/>
          <w:spacing w:val="-6"/>
          <w:sz w:val="32"/>
          <w:szCs w:val="32"/>
          <w:lang w:val="en-US" w:eastAsia="zh-CN"/>
        </w:rPr>
        <w:t>加快服务业集聚发展</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 w:eastAsia="仿宋_GB2312" w:cs="仿宋_GB2312"/>
          <w:bCs/>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pacing w:val="-6"/>
          <w:sz w:val="32"/>
          <w:szCs w:val="32"/>
          <w:lang w:val="en-US" w:eastAsia="zh-CN"/>
          <w14:textFill>
            <w14:solidFill>
              <w14:schemeClr w14:val="tx1"/>
            </w14:solidFill>
          </w14:textFill>
        </w:rPr>
        <w:t>1.对</w:t>
      </w:r>
      <w:r>
        <w:rPr>
          <w:rFonts w:hint="eastAsia" w:ascii="仿宋_GB2312" w:hAnsi="仿宋" w:eastAsia="仿宋_GB2312" w:cs="仿宋_GB2312"/>
          <w:bCs/>
          <w:color w:val="000000" w:themeColor="text1"/>
          <w:sz w:val="32"/>
          <w:szCs w:val="32"/>
          <w:lang w:val="en-US" w:eastAsia="zh-CN"/>
          <w14:textFill>
            <w14:solidFill>
              <w14:schemeClr w14:val="tx1"/>
            </w14:solidFill>
          </w14:textFill>
        </w:rPr>
        <w:t>入选省级现代服务业集聚示范区的集聚区和</w:t>
      </w:r>
      <w:r>
        <w:rPr>
          <w:rFonts w:hint="eastAsia" w:ascii="仿宋_GB2312" w:eastAsia="仿宋_GB2312" w:cs="仿宋_GB2312"/>
          <w:color w:val="000000" w:themeColor="text1"/>
          <w:spacing w:val="-4"/>
          <w:sz w:val="32"/>
          <w:szCs w:val="32"/>
          <w:lang w:val="en-US" w:eastAsia="zh-CN"/>
          <w14:textFill>
            <w14:solidFill>
              <w14:schemeClr w14:val="tx1"/>
            </w14:solidFill>
          </w14:textFill>
        </w:rPr>
        <w:t>入选浙江省服务业强县（市、区）培育提升行动计划的区县（市）</w:t>
      </w:r>
      <w:r>
        <w:rPr>
          <w:rFonts w:hint="eastAsia" w:ascii="仿宋_GB2312" w:hAnsi="仿宋" w:eastAsia="仿宋_GB2312" w:cs="仿宋_GB2312"/>
          <w:bCs/>
          <w:color w:val="000000" w:themeColor="text1"/>
          <w:sz w:val="32"/>
          <w:szCs w:val="32"/>
          <w:lang w:val="en-US" w:eastAsia="zh-CN"/>
          <w14:textFill>
            <w14:solidFill>
              <w14:schemeClr w14:val="tx1"/>
            </w14:solidFill>
          </w14:textFill>
        </w:rPr>
        <w:t>，根据省考核结果，对照省标准给予资金奖励。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hAnsi="仿宋" w:eastAsia="仿宋_GB2312" w:cs="仿宋_GB2312"/>
          <w:bCs/>
          <w:color w:val="000000"/>
          <w:sz w:val="32"/>
          <w:szCs w:val="32"/>
        </w:rPr>
        <w:t>2.</w:t>
      </w:r>
      <w:r>
        <w:rPr>
          <w:rFonts w:hint="eastAsia" w:ascii="仿宋_GB2312" w:eastAsia="仿宋_GB2312"/>
          <w:sz w:val="32"/>
          <w:szCs w:val="32"/>
          <w:lang w:val="en-US" w:eastAsia="zh-CN"/>
        </w:rPr>
        <w:t>2020年至2022年期间，</w:t>
      </w:r>
      <w:r>
        <w:rPr>
          <w:rFonts w:hint="eastAsia" w:ascii="仿宋_GB2312" w:eastAsia="仿宋_GB2312"/>
          <w:sz w:val="32"/>
          <w:szCs w:val="32"/>
        </w:rPr>
        <w:t>对各区县（市）辖区内单栋商务楼宇年度</w:t>
      </w:r>
      <w:r>
        <w:rPr>
          <w:rFonts w:hint="eastAsia" w:ascii="仿宋_GB2312" w:eastAsia="仿宋_GB2312"/>
          <w:color w:val="000000"/>
          <w:sz w:val="32"/>
          <w:szCs w:val="32"/>
        </w:rPr>
        <w:t>地方财政实际贡献</w:t>
      </w:r>
      <w:r>
        <w:rPr>
          <w:rFonts w:hint="eastAsia" w:ascii="仿宋_GB2312" w:eastAsia="仿宋_GB2312"/>
          <w:sz w:val="32"/>
          <w:szCs w:val="32"/>
        </w:rPr>
        <w:t>新突破</w:t>
      </w:r>
      <w:r>
        <w:rPr>
          <w:rFonts w:hint="eastAsia" w:ascii="仿宋_GB2312" w:eastAsia="仿宋_GB2312"/>
          <w:sz w:val="32"/>
          <w:szCs w:val="32"/>
          <w:lang w:val="en-US" w:eastAsia="zh-CN"/>
        </w:rPr>
        <w:t>5</w:t>
      </w:r>
      <w:r>
        <w:rPr>
          <w:rFonts w:ascii="仿宋_GB2312" w:eastAsia="仿宋_GB2312"/>
          <w:sz w:val="32"/>
          <w:szCs w:val="32"/>
        </w:rPr>
        <w:t>000</w:t>
      </w:r>
      <w:r>
        <w:rPr>
          <w:rFonts w:hint="eastAsia" w:ascii="仿宋_GB2312" w:eastAsia="仿宋_GB2312"/>
          <w:sz w:val="32"/>
          <w:szCs w:val="32"/>
        </w:rPr>
        <w:t>万元的</w:t>
      </w:r>
      <w:r>
        <w:rPr>
          <w:rFonts w:hint="eastAsia" w:ascii="仿宋_GB2312" w:eastAsia="仿宋_GB2312"/>
          <w:sz w:val="32"/>
          <w:szCs w:val="32"/>
          <w:lang w:val="en-US" w:eastAsia="zh-CN"/>
        </w:rPr>
        <w:t>管理机构</w:t>
      </w:r>
      <w:r>
        <w:rPr>
          <w:rFonts w:hint="eastAsia" w:ascii="仿宋_GB2312" w:eastAsia="仿宋_GB2312"/>
          <w:sz w:val="32"/>
          <w:szCs w:val="32"/>
        </w:rPr>
        <w:t>，给予一次性</w:t>
      </w:r>
      <w:r>
        <w:rPr>
          <w:rFonts w:ascii="仿宋_GB2312" w:eastAsia="仿宋_GB2312" w:cs="仿宋_GB2312"/>
          <w:color w:val="000000"/>
          <w:spacing w:val="-4"/>
          <w:sz w:val="32"/>
          <w:szCs w:val="32"/>
        </w:rPr>
        <w:t>200</w:t>
      </w:r>
      <w:r>
        <w:rPr>
          <w:rFonts w:hint="eastAsia" w:ascii="仿宋_GB2312" w:eastAsia="仿宋_GB2312" w:cs="仿宋_GB2312"/>
          <w:color w:val="000000"/>
          <w:spacing w:val="-4"/>
          <w:sz w:val="32"/>
          <w:szCs w:val="32"/>
        </w:rPr>
        <w:t>万元</w:t>
      </w:r>
      <w:r>
        <w:rPr>
          <w:rFonts w:hint="eastAsia" w:ascii="仿宋_GB2312" w:eastAsia="仿宋_GB2312"/>
          <w:sz w:val="32"/>
          <w:szCs w:val="32"/>
        </w:rPr>
        <w:t>资金奖励。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pacing w:val="-6"/>
          <w:sz w:val="32"/>
          <w:szCs w:val="32"/>
          <w:lang w:val="en-US" w:eastAsia="zh-CN"/>
        </w:rPr>
      </w:pPr>
      <w:r>
        <w:rPr>
          <w:rFonts w:hint="eastAsia" w:ascii="楷体_GB2312" w:hAnsi="黑体" w:eastAsia="楷体_GB2312"/>
          <w:sz w:val="32"/>
          <w:szCs w:val="32"/>
          <w:lang w:val="en-US" w:eastAsia="zh-CN"/>
        </w:rPr>
        <w:t>第十六条</w:t>
      </w:r>
      <w:r>
        <w:rPr>
          <w:rFonts w:hint="eastAsia" w:ascii="仿宋_GB2312" w:hAnsi="宋体" w:eastAsia="仿宋_GB2312"/>
          <w:spacing w:val="-6"/>
          <w:sz w:val="32"/>
          <w:szCs w:val="32"/>
          <w:lang w:val="en-US" w:eastAsia="zh-CN"/>
        </w:rPr>
        <w:t xml:space="preserve"> 推动服务业上规模发展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8"/>
          <w:sz w:val="32"/>
          <w:szCs w:val="32"/>
          <w:lang w:val="en-US" w:eastAsia="zh-CN"/>
        </w:rPr>
      </w:pPr>
      <w:r>
        <w:rPr>
          <w:rFonts w:hint="eastAsia" w:ascii="仿宋_GB2312" w:eastAsia="仿宋_GB2312"/>
          <w:color w:val="000000"/>
          <w:sz w:val="32"/>
          <w:szCs w:val="32"/>
          <w:lang w:val="en-US" w:eastAsia="zh-CN"/>
        </w:rPr>
        <w:t>1.</w:t>
      </w:r>
      <w:r>
        <w:rPr>
          <w:rFonts w:hint="eastAsia" w:ascii="仿宋_GB2312" w:hAnsi="仿宋_GB2312" w:eastAsia="仿宋_GB2312" w:cs="仿宋_GB2312"/>
          <w:spacing w:val="8"/>
          <w:sz w:val="32"/>
          <w:szCs w:val="32"/>
          <w:lang w:val="en-US" w:eastAsia="zh-CN"/>
        </w:rPr>
        <w:t>对服务业个体工商户转型小微企业，每家奖励2万元；对上年度新上规模的批发、零售、住宿餐饮企业每家奖励2万元，限上服务业企业（浙江省MEI考核口径）每家奖励5万元。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w:t>
      </w:r>
      <w:r>
        <w:rPr>
          <w:rFonts w:hint="eastAsia" w:ascii="仿宋_GB2312" w:eastAsia="仿宋_GB2312"/>
          <w:color w:val="000000" w:themeColor="text1"/>
          <w:sz w:val="32"/>
          <w:szCs w:val="32"/>
          <w:highlight w:val="none"/>
          <w:lang w:val="en-US" w:eastAsia="zh-CN"/>
          <w14:textFill>
            <w14:solidFill>
              <w14:schemeClr w14:val="tx1"/>
            </w14:solidFill>
          </w14:textFill>
        </w:rPr>
        <w:t>对</w:t>
      </w:r>
      <w:r>
        <w:rPr>
          <w:rFonts w:hint="eastAsia" w:ascii="仿宋_GB2312" w:hAnsi="仿宋_GB2312" w:eastAsia="仿宋_GB2312" w:cs="仿宋_GB2312"/>
          <w:spacing w:val="8"/>
          <w:sz w:val="32"/>
          <w:szCs w:val="32"/>
          <w:lang w:val="en-US" w:eastAsia="zh-CN"/>
        </w:rPr>
        <w:t>服务业“小升规”企业，3年内</w:t>
      </w:r>
      <w:r>
        <w:rPr>
          <w:rFonts w:hint="eastAsia" w:ascii="仿宋_GB2312" w:eastAsia="仿宋_GB2312"/>
          <w:color w:val="000000" w:themeColor="text1"/>
          <w:sz w:val="32"/>
          <w:szCs w:val="32"/>
          <w:highlight w:val="none"/>
          <w:lang w:val="en-US" w:eastAsia="zh-CN"/>
          <w14:textFill>
            <w14:solidFill>
              <w14:schemeClr w14:val="tx1"/>
            </w14:solidFill>
          </w14:textFill>
        </w:rPr>
        <w:t>按企业对地方财政实际贡献每年增加部分，第一年给予20%奖励，第二年给予15&amp;%的奖励，第三年给予10%的奖励。</w:t>
      </w:r>
    </w:p>
    <w:p>
      <w:pPr>
        <w:keepNext w:val="0"/>
        <w:keepLines w:val="0"/>
        <w:pageBreakBefore w:val="0"/>
        <w:widowControl w:val="0"/>
        <w:kinsoku/>
        <w:wordWrap/>
        <w:overflowPunct/>
        <w:topLinePunct w:val="0"/>
        <w:autoSpaceDE/>
        <w:autoSpaceDN/>
        <w:bidi w:val="0"/>
        <w:adjustRightInd/>
        <w:snapToGrid/>
        <w:spacing w:before="156" w:after="156" w:line="540" w:lineRule="exact"/>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章 申报要求</w:t>
      </w:r>
      <w:r>
        <w:rPr>
          <w:rFonts w:hint="eastAsia" w:ascii="黑体" w:hAnsi="黑体" w:eastAsia="黑体" w:cs="黑体"/>
          <w:sz w:val="32"/>
          <w:szCs w:val="32"/>
          <w:lang w:val="en-US" w:eastAsia="zh-CN"/>
        </w:rPr>
        <w:t>和</w:t>
      </w:r>
      <w:r>
        <w:rPr>
          <w:rFonts w:hint="eastAsia" w:ascii="黑体" w:hAnsi="黑体" w:eastAsia="黑体" w:cs="黑体"/>
          <w:sz w:val="32"/>
          <w:szCs w:val="32"/>
        </w:rPr>
        <w:t>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楷体_GB2312" w:hAnsi="黑体" w:eastAsia="楷体_GB2312"/>
          <w:sz w:val="32"/>
          <w:szCs w:val="32"/>
        </w:rPr>
        <w:t>第十七条</w:t>
      </w:r>
      <w:r>
        <w:rPr>
          <w:rFonts w:ascii="楷体_GB2312" w:hAnsi="黑体" w:eastAsia="楷体_GB2312"/>
          <w:sz w:val="32"/>
          <w:szCs w:val="32"/>
        </w:rPr>
        <w:t xml:space="preserve"> </w:t>
      </w:r>
      <w:r>
        <w:rPr>
          <w:rFonts w:hint="eastAsia" w:ascii="仿宋_GB2312" w:eastAsia="仿宋_GB2312"/>
          <w:color w:val="000000"/>
          <w:sz w:val="32"/>
          <w:szCs w:val="32"/>
        </w:rPr>
        <w:t>支持对象和基本条件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支持对象为在我市依法登记注册，主要从事服务业的企业、事业单位、社会团体。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应具备的基本条件：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合法经营，依法纳税，管理规范。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具有健全的财务管理制度和良好的财务记录。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按规定分别向各级财政部门、服务业主管部门报送相关资料，并接受各级财政部门、服务业主管部门监督检查。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楷体_GB2312" w:hAnsi="黑体" w:eastAsia="楷体_GB2312"/>
          <w:sz w:val="32"/>
          <w:szCs w:val="32"/>
        </w:rPr>
        <w:t>第十八条</w:t>
      </w:r>
      <w:r>
        <w:rPr>
          <w:rFonts w:ascii="楷体_GB2312" w:hAnsi="黑体" w:eastAsia="楷体_GB2312"/>
          <w:sz w:val="32"/>
          <w:szCs w:val="32"/>
        </w:rPr>
        <w:t xml:space="preserve"> </w:t>
      </w:r>
      <w:r>
        <w:rPr>
          <w:rFonts w:hint="eastAsia" w:ascii="仿宋_GB2312" w:eastAsia="仿宋_GB2312"/>
          <w:color w:val="000000"/>
          <w:sz w:val="32"/>
          <w:szCs w:val="32"/>
        </w:rPr>
        <w:t>申报材料。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申请单位提交材料包括：</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专项资金申请表；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color w:val="000000"/>
          <w:sz w:val="32"/>
          <w:szCs w:val="32"/>
        </w:rPr>
        <w:t>2.</w:t>
      </w:r>
      <w:r>
        <w:rPr>
          <w:rFonts w:hint="eastAsia" w:ascii="仿宋_GB2312" w:eastAsia="仿宋_GB2312"/>
          <w:sz w:val="32"/>
          <w:szCs w:val="32"/>
        </w:rPr>
        <w:t>营业执照或事业单位法人证书复印件；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经权威机构认证或出具的资质等级文件；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经有资质机构审计的近</w:t>
      </w:r>
      <w:r>
        <w:rPr>
          <w:rFonts w:ascii="仿宋_GB2312" w:eastAsia="仿宋_GB2312"/>
          <w:sz w:val="32"/>
          <w:szCs w:val="32"/>
        </w:rPr>
        <w:t>2</w:t>
      </w:r>
      <w:r>
        <w:rPr>
          <w:rFonts w:hint="eastAsia" w:ascii="仿宋_GB2312" w:eastAsia="仿宋_GB2312"/>
          <w:sz w:val="32"/>
          <w:szCs w:val="32"/>
        </w:rPr>
        <w:t>年审计报告，或通过审查的事业单位财务决算报表；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税务部门提供的单位上年度完税证明复印件；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ascii="仿宋_GB2312" w:eastAsia="仿宋_GB2312"/>
          <w:sz w:val="32"/>
          <w:szCs w:val="32"/>
        </w:rPr>
        <w:t>6.</w:t>
      </w:r>
      <w:r>
        <w:rPr>
          <w:rFonts w:hint="eastAsia" w:ascii="仿宋_GB2312" w:eastAsia="仿宋_GB2312"/>
          <w:sz w:val="32"/>
          <w:szCs w:val="32"/>
        </w:rPr>
        <w:t>申报项目投资补助的，应提交</w:t>
      </w:r>
      <w:r>
        <w:rPr>
          <w:rFonts w:hint="eastAsia" w:ascii="仿宋_GB2312" w:eastAsia="仿宋_GB2312"/>
          <w:color w:val="000000"/>
          <w:sz w:val="32"/>
          <w:szCs w:val="32"/>
        </w:rPr>
        <w:t>项目建议书、</w:t>
      </w:r>
      <w:r>
        <w:rPr>
          <w:rFonts w:hint="eastAsia" w:ascii="仿宋_GB2312" w:eastAsia="仿宋_GB2312"/>
          <w:sz w:val="32"/>
          <w:szCs w:val="32"/>
        </w:rPr>
        <w:t>项目投资预算、项目建设条件（备案、规划、环保、用地、资金）</w:t>
      </w:r>
      <w:r>
        <w:rPr>
          <w:rFonts w:hint="eastAsia" w:ascii="仿宋_GB2312" w:eastAsia="仿宋_GB2312"/>
          <w:color w:val="000000"/>
          <w:sz w:val="32"/>
          <w:szCs w:val="32"/>
        </w:rPr>
        <w:t>等相关材料；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其他应提交的材料。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以上材料（资料）在监管部门（或其委托的第三方机构）现场实地核查时必须提供原件。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楷体_GB2312" w:hAnsi="黑体" w:eastAsia="楷体_GB2312"/>
          <w:sz w:val="32"/>
          <w:szCs w:val="32"/>
        </w:rPr>
        <w:t>第十九条</w:t>
      </w:r>
      <w:r>
        <w:rPr>
          <w:rFonts w:ascii="楷体_GB2312" w:hAnsi="黑体" w:eastAsia="楷体_GB2312"/>
          <w:sz w:val="32"/>
          <w:szCs w:val="32"/>
        </w:rPr>
        <w:t xml:space="preserve"> </w:t>
      </w:r>
      <w:r>
        <w:rPr>
          <w:rFonts w:hint="eastAsia" w:ascii="仿宋_GB2312" w:eastAsia="仿宋_GB2312"/>
          <w:color w:val="000000"/>
          <w:sz w:val="32"/>
          <w:szCs w:val="32"/>
        </w:rPr>
        <w:t>申报程序。市服务业局按年度以书面形式下发申报通知至各区县（市），按照申报单位属地化原则，由申报单位在规定时间内向</w:t>
      </w:r>
      <w:r>
        <w:rPr>
          <w:rFonts w:hint="eastAsia" w:ascii="仿宋_GB2312" w:eastAsia="仿宋_GB2312"/>
          <w:sz w:val="32"/>
          <w:szCs w:val="32"/>
        </w:rPr>
        <w:t>当地服务业主管部门、财政局提出申请。</w:t>
      </w:r>
      <w:r>
        <w:rPr>
          <w:rFonts w:hint="eastAsia" w:ascii="仿宋_GB2312" w:eastAsia="仿宋_GB2312"/>
          <w:color w:val="000000" w:themeColor="text1"/>
          <w:sz w:val="32"/>
          <w:szCs w:val="32"/>
          <w14:textFill>
            <w14:solidFill>
              <w14:schemeClr w14:val="tx1"/>
            </w14:solidFill>
          </w14:textFill>
        </w:rPr>
        <w:t>各地</w:t>
      </w:r>
      <w:r>
        <w:rPr>
          <w:rFonts w:hint="eastAsia" w:ascii="仿宋_GB2312" w:eastAsia="仿宋_GB2312"/>
          <w:color w:val="000000" w:themeColor="text1"/>
          <w:sz w:val="32"/>
          <w:szCs w:val="32"/>
          <w:lang w:val="en-US" w:eastAsia="zh-CN"/>
          <w14:textFill>
            <w14:solidFill>
              <w14:schemeClr w14:val="tx1"/>
            </w14:solidFill>
          </w14:textFill>
        </w:rPr>
        <w:t>服务业发展主管部门</w:t>
      </w:r>
      <w:r>
        <w:rPr>
          <w:rFonts w:hint="eastAsia" w:ascii="仿宋_GB2312" w:eastAsia="仿宋_GB2312"/>
          <w:color w:val="000000" w:themeColor="text1"/>
          <w:sz w:val="32"/>
          <w:szCs w:val="32"/>
          <w14:textFill>
            <w14:solidFill>
              <w14:schemeClr w14:val="tx1"/>
            </w14:solidFill>
          </w14:textFill>
        </w:rPr>
        <w:t>进行初审后，将符合条件的申报材料，报</w:t>
      </w:r>
      <w:r>
        <w:rPr>
          <w:rFonts w:hint="eastAsia" w:ascii="仿宋_GB2312" w:eastAsia="仿宋_GB2312"/>
          <w:sz w:val="32"/>
          <w:szCs w:val="32"/>
        </w:rPr>
        <w:t>市服务业局、市财政局。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楷体_GB2312" w:hAnsi="黑体" w:eastAsia="楷体_GB2312"/>
          <w:sz w:val="32"/>
          <w:szCs w:val="32"/>
        </w:rPr>
        <w:t>第二十条</w:t>
      </w:r>
      <w:r>
        <w:rPr>
          <w:rFonts w:ascii="楷体_GB2312" w:hAnsi="黑体" w:eastAsia="楷体_GB2312"/>
          <w:sz w:val="32"/>
          <w:szCs w:val="32"/>
        </w:rPr>
        <w:t xml:space="preserve"> </w:t>
      </w:r>
      <w:r>
        <w:rPr>
          <w:rFonts w:hint="eastAsia" w:ascii="仿宋_GB2312" w:eastAsia="仿宋_GB2312"/>
          <w:color w:val="000000"/>
          <w:sz w:val="32"/>
          <w:szCs w:val="32"/>
        </w:rPr>
        <w:t>审查和公示。由市服务业局会同市财政局对申报材料组织审评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必要时可以委托第三方机构进行</w:t>
      </w:r>
      <w:r>
        <w:rPr>
          <w:rFonts w:hint="eastAsia" w:ascii="仿宋_GB2312" w:eastAsia="仿宋_GB2312"/>
          <w:color w:val="000000"/>
          <w:sz w:val="32"/>
          <w:szCs w:val="32"/>
        </w:rPr>
        <w:t>财务审计、实地考察，由市服务业局会同市财政局确定支持对象及资金分配方案，在宁波市政府信息公开网向社会公示</w:t>
      </w:r>
      <w:r>
        <w:rPr>
          <w:rFonts w:ascii="仿宋_GB2312" w:eastAsia="仿宋_GB2312"/>
          <w:color w:val="000000"/>
          <w:sz w:val="32"/>
          <w:szCs w:val="32"/>
        </w:rPr>
        <w:t>5</w:t>
      </w:r>
      <w:r>
        <w:rPr>
          <w:rFonts w:hint="eastAsia" w:ascii="仿宋_GB2312" w:eastAsia="仿宋_GB2312"/>
          <w:color w:val="000000"/>
          <w:sz w:val="32"/>
          <w:szCs w:val="32"/>
        </w:rPr>
        <w:t>个工作日。公示期间无异议的，列入补助名册。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楷体_GB2312" w:hAnsi="黑体" w:eastAsia="楷体_GB2312"/>
          <w:sz w:val="32"/>
          <w:szCs w:val="32"/>
        </w:rPr>
        <w:t>第二十一条</w:t>
      </w:r>
      <w:r>
        <w:rPr>
          <w:rFonts w:ascii="仿宋_GB2312" w:eastAsia="仿宋_GB2312"/>
          <w:color w:val="000000"/>
          <w:sz w:val="32"/>
          <w:szCs w:val="32"/>
        </w:rPr>
        <w:t xml:space="preserve"> </w:t>
      </w:r>
      <w:r>
        <w:rPr>
          <w:rFonts w:hint="eastAsia" w:ascii="仿宋_GB2312" w:eastAsia="仿宋_GB2312"/>
          <w:color w:val="000000"/>
          <w:sz w:val="32"/>
          <w:szCs w:val="32"/>
        </w:rPr>
        <w:t>资金下达。区县（市）集中申报项目，市财政局、市服务业局将资金下达至申报单位所在区县（市），申报单位向属地申领资金；市服务业局直接受理项目，由市服务业局按程序直接拨付。</w:t>
      </w:r>
    </w:p>
    <w:p>
      <w:pPr>
        <w:keepNext w:val="0"/>
        <w:keepLines w:val="0"/>
        <w:pageBreakBefore w:val="0"/>
        <w:kinsoku/>
        <w:wordWrap/>
        <w:overflowPunct/>
        <w:topLinePunct w:val="0"/>
        <w:autoSpaceDE/>
        <w:autoSpaceDN/>
        <w:bidi w:val="0"/>
        <w:adjustRightInd/>
        <w:snapToGrid/>
        <w:spacing w:before="156" w:after="156" w:line="54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监督管理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第二十二条</w:t>
      </w:r>
      <w:r>
        <w:rPr>
          <w:rFonts w:ascii="仿宋_GB2312" w:eastAsia="仿宋_GB2312"/>
          <w:sz w:val="32"/>
          <w:szCs w:val="32"/>
        </w:rPr>
        <w:t xml:space="preserve"> </w:t>
      </w:r>
      <w:r>
        <w:rPr>
          <w:rFonts w:hint="eastAsia" w:ascii="仿宋_GB2312" w:eastAsia="仿宋_GB2312"/>
          <w:sz w:val="32"/>
          <w:szCs w:val="32"/>
        </w:rPr>
        <w:t>各</w:t>
      </w:r>
      <w:r>
        <w:rPr>
          <w:rFonts w:hint="eastAsia" w:ascii="仿宋_GB2312" w:eastAsia="仿宋_GB2312"/>
          <w:sz w:val="32"/>
          <w:szCs w:val="32"/>
          <w:lang w:val="en-US" w:eastAsia="zh-CN"/>
        </w:rPr>
        <w:t>级</w:t>
      </w:r>
      <w:r>
        <w:rPr>
          <w:rFonts w:hint="eastAsia" w:ascii="仿宋_GB2312" w:eastAsia="仿宋_GB2312"/>
          <w:sz w:val="32"/>
          <w:szCs w:val="32"/>
        </w:rPr>
        <w:t>服务业和财政主管部门要加强对申报单位的核查和管理，确保专项资金使用依法合规。</w:t>
      </w:r>
      <w:r>
        <w:rPr>
          <w:rFonts w:hint="eastAsia" w:ascii="仿宋_GB2312" w:eastAsia="仿宋_GB2312"/>
          <w:sz w:val="32"/>
          <w:szCs w:val="32"/>
          <w:lang w:val="en-US" w:eastAsia="zh-CN"/>
        </w:rPr>
        <w:t>资金下达后，</w:t>
      </w:r>
      <w:r>
        <w:rPr>
          <w:rFonts w:hint="eastAsia" w:ascii="仿宋_GB2312" w:eastAsia="仿宋_GB2312"/>
          <w:sz w:val="32"/>
          <w:szCs w:val="32"/>
        </w:rPr>
        <w:t>各地要</w:t>
      </w:r>
      <w:r>
        <w:rPr>
          <w:rFonts w:hint="eastAsia" w:ascii="仿宋_GB2312" w:eastAsia="仿宋_GB2312"/>
          <w:sz w:val="32"/>
          <w:szCs w:val="32"/>
          <w:lang w:val="en-US" w:eastAsia="zh-CN"/>
        </w:rPr>
        <w:t>迅速</w:t>
      </w:r>
      <w:r>
        <w:rPr>
          <w:rFonts w:hint="eastAsia" w:ascii="仿宋_GB2312" w:eastAsia="仿宋_GB2312"/>
          <w:sz w:val="32"/>
          <w:szCs w:val="32"/>
        </w:rPr>
        <w:t>将专项资金分配到具体项目和单位，并按规定及时将专项资金安排使用情况报送市服务业局和市财政局备案。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楷体_GB2312" w:hAnsi="楷体_GB2312" w:eastAsia="楷体_GB2312" w:cs="楷体_GB2312"/>
          <w:sz w:val="32"/>
          <w:szCs w:val="32"/>
        </w:rPr>
        <w:t>第二十三条</w:t>
      </w:r>
      <w:r>
        <w:rPr>
          <w:rFonts w:ascii="仿宋_GB2312" w:eastAsia="仿宋_GB2312"/>
          <w:color w:val="000000"/>
          <w:sz w:val="32"/>
          <w:szCs w:val="32"/>
        </w:rPr>
        <w:t xml:space="preserve"> </w:t>
      </w:r>
      <w:r>
        <w:rPr>
          <w:rFonts w:hint="eastAsia" w:ascii="仿宋_GB2312" w:eastAsia="仿宋_GB2312"/>
          <w:color w:val="000000"/>
          <w:sz w:val="32"/>
          <w:szCs w:val="32"/>
        </w:rPr>
        <w:t>申报单位对申报材料的真实性承担法律责任，自觉接受监督和检查。资金下达后，相关单位应按照现行有关财务会计制度及专项资金管理要求做好财务账户处理，按规定用途安排使用资金，认真推进项目实施。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pacing w:val="-6"/>
          <w:sz w:val="32"/>
          <w:szCs w:val="32"/>
        </w:rPr>
      </w:pPr>
      <w:r>
        <w:rPr>
          <w:rFonts w:hint="eastAsia" w:ascii="楷体_GB2312" w:hAnsi="楷体_GB2312" w:eastAsia="楷体_GB2312" w:cs="楷体_GB2312"/>
          <w:sz w:val="32"/>
          <w:szCs w:val="32"/>
        </w:rPr>
        <w:t>第二十四条</w:t>
      </w:r>
      <w:r>
        <w:rPr>
          <w:rFonts w:ascii="楷体_GB2312" w:hAnsi="楷体_GB2312" w:eastAsia="楷体_GB2312" w:cs="楷体_GB2312"/>
          <w:sz w:val="32"/>
          <w:szCs w:val="32"/>
        </w:rPr>
        <w:t xml:space="preserve"> </w:t>
      </w:r>
      <w:r>
        <w:rPr>
          <w:rFonts w:hint="eastAsia" w:ascii="仿宋_GB2312" w:eastAsia="仿宋_GB2312"/>
          <w:color w:val="000000"/>
          <w:sz w:val="32"/>
          <w:szCs w:val="32"/>
        </w:rPr>
        <w:t>对</w:t>
      </w:r>
      <w:r>
        <w:rPr>
          <w:rFonts w:hint="eastAsia" w:ascii="仿宋_GB2312" w:eastAsia="仿宋_GB2312" w:cs="仿宋_GB2312"/>
          <w:color w:val="000000"/>
          <w:sz w:val="32"/>
          <w:szCs w:val="32"/>
        </w:rPr>
        <w:t>违反规定使用、骗取财政资金的行为</w:t>
      </w:r>
      <w:r>
        <w:rPr>
          <w:rFonts w:hint="eastAsia" w:ascii="仿宋_GB2312" w:eastAsia="仿宋_GB2312"/>
          <w:color w:val="000000"/>
          <w:sz w:val="32"/>
          <w:szCs w:val="32"/>
        </w:rPr>
        <w:t>，一经查实，将追回已安排的扶持资金，并按照《财政违法行为处罚处分条例》等有关法规进行查处，</w:t>
      </w:r>
      <w:r>
        <w:rPr>
          <w:rFonts w:hint="eastAsia" w:ascii="仿宋_GB2312" w:hAnsi="宋体" w:eastAsia="仿宋_GB2312"/>
          <w:spacing w:val="-6"/>
          <w:sz w:val="32"/>
          <w:szCs w:val="32"/>
        </w:rPr>
        <w:t>构成违法或犯罪的，移送相关部门依法处理。</w:t>
      </w:r>
    </w:p>
    <w:p>
      <w:pPr>
        <w:keepNext w:val="0"/>
        <w:keepLines w:val="0"/>
        <w:pageBreakBefore w:val="0"/>
        <w:kinsoku/>
        <w:wordWrap/>
        <w:overflowPunct/>
        <w:topLinePunct w:val="0"/>
        <w:autoSpaceDE/>
        <w:autoSpaceDN/>
        <w:bidi w:val="0"/>
        <w:adjustRightInd/>
        <w:snapToGrid/>
        <w:spacing w:before="156" w:after="156" w:line="54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附则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 xml:space="preserve">第二十五条 </w:t>
      </w:r>
      <w:r>
        <w:rPr>
          <w:rFonts w:hint="eastAsia" w:ascii="仿宋_GB2312" w:eastAsia="仿宋_GB2312"/>
          <w:sz w:val="32"/>
          <w:szCs w:val="32"/>
        </w:rPr>
        <w:t>本办法所称“投入”、“投资额”凭申报单位提供的发票、银行汇款凭证、商业合同等法定单据认定。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第二十六条</w:t>
      </w:r>
      <w:r>
        <w:rPr>
          <w:rFonts w:hint="eastAsia" w:ascii="仿宋_GB2312" w:eastAsia="仿宋_GB2312"/>
          <w:sz w:val="32"/>
          <w:szCs w:val="32"/>
          <w:lang w:val="en-US" w:eastAsia="zh-CN"/>
        </w:rPr>
        <w:t xml:space="preserve"> 涉及会展业资金申报实施细则（包括申报要求、程序和监督管理等）由市服务业局会同市财政局另行制定。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 xml:space="preserve">条 </w:t>
      </w:r>
      <w:r>
        <w:rPr>
          <w:rFonts w:hint="eastAsia" w:ascii="仿宋_GB2312" w:eastAsia="仿宋_GB2312"/>
          <w:sz w:val="32"/>
          <w:szCs w:val="32"/>
        </w:rPr>
        <w:t>本办法由市服务业局会同市财政局负责解释。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条</w:t>
      </w:r>
      <w:r>
        <w:rPr>
          <w:rFonts w:ascii="仿宋_GB2312" w:eastAsia="仿宋_GB2312"/>
          <w:sz w:val="32"/>
          <w:szCs w:val="32"/>
        </w:rPr>
        <w:t xml:space="preserve"> </w:t>
      </w:r>
      <w:r>
        <w:rPr>
          <w:rFonts w:hint="eastAsia" w:ascii="仿宋_GB2312" w:eastAsia="仿宋_GB2312"/>
          <w:sz w:val="32"/>
          <w:szCs w:val="32"/>
        </w:rPr>
        <w:t>本办法自2021年</w:t>
      </w:r>
      <w:r>
        <w:rPr>
          <w:rFonts w:hint="eastAsia" w:ascii="仿宋_GB2312" w:eastAsia="仿宋_GB2312"/>
          <w:sz w:val="32"/>
          <w:szCs w:val="32"/>
          <w:lang w:val="en-US" w:eastAsia="zh-CN"/>
        </w:rPr>
        <w:t>1月1日</w:t>
      </w:r>
      <w:r>
        <w:rPr>
          <w:rFonts w:hint="eastAsia" w:ascii="仿宋_GB2312" w:eastAsia="仿宋_GB2312"/>
          <w:sz w:val="32"/>
          <w:szCs w:val="32"/>
        </w:rPr>
        <w:t>开始施行，施行期限暂定三年。原港航物流、会展等资金管理办法与本办法规定不</w:t>
      </w:r>
      <w:r>
        <w:rPr>
          <w:rFonts w:hint="eastAsia" w:ascii="仿宋_GB2312" w:eastAsia="仿宋_GB2312"/>
          <w:sz w:val="32"/>
          <w:szCs w:val="32"/>
          <w:lang w:val="en-US" w:eastAsia="zh-CN"/>
        </w:rPr>
        <w:t>一致</w:t>
      </w:r>
      <w:r>
        <w:rPr>
          <w:rFonts w:hint="eastAsia" w:ascii="仿宋_GB2312" w:eastAsia="仿宋_GB2312"/>
          <w:sz w:val="32"/>
          <w:szCs w:val="32"/>
        </w:rPr>
        <w:t>的，按本办法规定执行。</w:t>
      </w:r>
    </w:p>
    <w:sectPr>
      <w:headerReference r:id="rId3" w:type="default"/>
      <w:footerReference r:id="rId4" w:type="default"/>
      <w:pgSz w:w="11906" w:h="16838"/>
      <w:pgMar w:top="2041"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0D88"/>
    <w:rsid w:val="012C464A"/>
    <w:rsid w:val="017F097E"/>
    <w:rsid w:val="02637866"/>
    <w:rsid w:val="0283267B"/>
    <w:rsid w:val="030518C5"/>
    <w:rsid w:val="04297735"/>
    <w:rsid w:val="048B1FA9"/>
    <w:rsid w:val="04C20CDC"/>
    <w:rsid w:val="059C3C2A"/>
    <w:rsid w:val="05BE282D"/>
    <w:rsid w:val="05CB135D"/>
    <w:rsid w:val="060B4261"/>
    <w:rsid w:val="061F5C67"/>
    <w:rsid w:val="06253F28"/>
    <w:rsid w:val="06AB31F6"/>
    <w:rsid w:val="074358B1"/>
    <w:rsid w:val="075841F3"/>
    <w:rsid w:val="08087C3B"/>
    <w:rsid w:val="08443A4F"/>
    <w:rsid w:val="0A5B0B26"/>
    <w:rsid w:val="0BA74667"/>
    <w:rsid w:val="0C6B2E87"/>
    <w:rsid w:val="0C9F222F"/>
    <w:rsid w:val="0CB30E0D"/>
    <w:rsid w:val="0D5C30A6"/>
    <w:rsid w:val="0D9E0584"/>
    <w:rsid w:val="0DFC4DF4"/>
    <w:rsid w:val="0F007E70"/>
    <w:rsid w:val="113814FB"/>
    <w:rsid w:val="116663F3"/>
    <w:rsid w:val="11715031"/>
    <w:rsid w:val="12855355"/>
    <w:rsid w:val="12AC6258"/>
    <w:rsid w:val="12EB4697"/>
    <w:rsid w:val="147A0C3A"/>
    <w:rsid w:val="148F7F42"/>
    <w:rsid w:val="14C02803"/>
    <w:rsid w:val="14E60BD9"/>
    <w:rsid w:val="150F0732"/>
    <w:rsid w:val="156F7DBF"/>
    <w:rsid w:val="161C153F"/>
    <w:rsid w:val="166F0147"/>
    <w:rsid w:val="171A368A"/>
    <w:rsid w:val="17ED4E42"/>
    <w:rsid w:val="18A775FA"/>
    <w:rsid w:val="18E0724C"/>
    <w:rsid w:val="196277F1"/>
    <w:rsid w:val="1A451CB2"/>
    <w:rsid w:val="1AB62C0F"/>
    <w:rsid w:val="1B1C0463"/>
    <w:rsid w:val="1B961360"/>
    <w:rsid w:val="1BC82EBD"/>
    <w:rsid w:val="1BD729C7"/>
    <w:rsid w:val="1BDB7E99"/>
    <w:rsid w:val="1C59146C"/>
    <w:rsid w:val="1E296E04"/>
    <w:rsid w:val="1F594952"/>
    <w:rsid w:val="20845964"/>
    <w:rsid w:val="21F4107F"/>
    <w:rsid w:val="2206309C"/>
    <w:rsid w:val="221B163D"/>
    <w:rsid w:val="22601C99"/>
    <w:rsid w:val="22832F6E"/>
    <w:rsid w:val="22A623B2"/>
    <w:rsid w:val="22D76E0C"/>
    <w:rsid w:val="22DA353F"/>
    <w:rsid w:val="2433315D"/>
    <w:rsid w:val="24860ABF"/>
    <w:rsid w:val="251F1D23"/>
    <w:rsid w:val="25231C44"/>
    <w:rsid w:val="27775090"/>
    <w:rsid w:val="27FA2818"/>
    <w:rsid w:val="280D1A38"/>
    <w:rsid w:val="285206EE"/>
    <w:rsid w:val="299262B5"/>
    <w:rsid w:val="29F41EB1"/>
    <w:rsid w:val="2A074E02"/>
    <w:rsid w:val="2A5723C2"/>
    <w:rsid w:val="2AB33B99"/>
    <w:rsid w:val="2B470FDA"/>
    <w:rsid w:val="2B684F33"/>
    <w:rsid w:val="2BF8625C"/>
    <w:rsid w:val="2C8A58B8"/>
    <w:rsid w:val="2D9D45EF"/>
    <w:rsid w:val="2E551F51"/>
    <w:rsid w:val="2F1D72DB"/>
    <w:rsid w:val="2F97333D"/>
    <w:rsid w:val="2FC91292"/>
    <w:rsid w:val="301C5CFC"/>
    <w:rsid w:val="3035491A"/>
    <w:rsid w:val="317408CD"/>
    <w:rsid w:val="323D3913"/>
    <w:rsid w:val="32446C96"/>
    <w:rsid w:val="32521132"/>
    <w:rsid w:val="325C39E7"/>
    <w:rsid w:val="329B01C5"/>
    <w:rsid w:val="32A7120E"/>
    <w:rsid w:val="34042454"/>
    <w:rsid w:val="34223FE9"/>
    <w:rsid w:val="34237D12"/>
    <w:rsid w:val="34880B2A"/>
    <w:rsid w:val="35A14F76"/>
    <w:rsid w:val="35AA6E86"/>
    <w:rsid w:val="35AD7285"/>
    <w:rsid w:val="36270F30"/>
    <w:rsid w:val="371240D1"/>
    <w:rsid w:val="371F0919"/>
    <w:rsid w:val="37844BFC"/>
    <w:rsid w:val="385D66DF"/>
    <w:rsid w:val="38AE09F8"/>
    <w:rsid w:val="39137B3F"/>
    <w:rsid w:val="392438A3"/>
    <w:rsid w:val="39DF0B53"/>
    <w:rsid w:val="39FD590D"/>
    <w:rsid w:val="3A490DF1"/>
    <w:rsid w:val="3B231CFD"/>
    <w:rsid w:val="3B367863"/>
    <w:rsid w:val="3C2C40D2"/>
    <w:rsid w:val="3C947AB4"/>
    <w:rsid w:val="3D145909"/>
    <w:rsid w:val="3DE61DB8"/>
    <w:rsid w:val="3E195989"/>
    <w:rsid w:val="3E7540C1"/>
    <w:rsid w:val="3EB12D38"/>
    <w:rsid w:val="3F246345"/>
    <w:rsid w:val="3F352AC9"/>
    <w:rsid w:val="3F5A769E"/>
    <w:rsid w:val="416C10D5"/>
    <w:rsid w:val="417C2353"/>
    <w:rsid w:val="41C01163"/>
    <w:rsid w:val="41C21AF9"/>
    <w:rsid w:val="41F53C12"/>
    <w:rsid w:val="42686C9D"/>
    <w:rsid w:val="42A06A7E"/>
    <w:rsid w:val="42A82766"/>
    <w:rsid w:val="44FD5181"/>
    <w:rsid w:val="45206B91"/>
    <w:rsid w:val="452070AC"/>
    <w:rsid w:val="45786B42"/>
    <w:rsid w:val="45CA070E"/>
    <w:rsid w:val="45E958A3"/>
    <w:rsid w:val="48400AB9"/>
    <w:rsid w:val="497D6891"/>
    <w:rsid w:val="4A2E541D"/>
    <w:rsid w:val="4C693FE3"/>
    <w:rsid w:val="4C7F5AC7"/>
    <w:rsid w:val="4D5C608F"/>
    <w:rsid w:val="4DAE7AFD"/>
    <w:rsid w:val="4E4A7284"/>
    <w:rsid w:val="4F1F36B0"/>
    <w:rsid w:val="4F8C0D6C"/>
    <w:rsid w:val="50303A9F"/>
    <w:rsid w:val="503263FE"/>
    <w:rsid w:val="50801FD8"/>
    <w:rsid w:val="50AF4352"/>
    <w:rsid w:val="5189270F"/>
    <w:rsid w:val="526C22E2"/>
    <w:rsid w:val="52792543"/>
    <w:rsid w:val="52F24137"/>
    <w:rsid w:val="53886A81"/>
    <w:rsid w:val="546F020B"/>
    <w:rsid w:val="54C16C4F"/>
    <w:rsid w:val="54EF6C06"/>
    <w:rsid w:val="55BE0E7B"/>
    <w:rsid w:val="5667636C"/>
    <w:rsid w:val="56A115AB"/>
    <w:rsid w:val="56CB6696"/>
    <w:rsid w:val="570E4A0A"/>
    <w:rsid w:val="576414E3"/>
    <w:rsid w:val="57B5609D"/>
    <w:rsid w:val="57C142C0"/>
    <w:rsid w:val="57DD093C"/>
    <w:rsid w:val="580121C2"/>
    <w:rsid w:val="585F5F4E"/>
    <w:rsid w:val="58C36F88"/>
    <w:rsid w:val="58D53B1B"/>
    <w:rsid w:val="5903633E"/>
    <w:rsid w:val="59B40D49"/>
    <w:rsid w:val="59DD52E1"/>
    <w:rsid w:val="59DD73D1"/>
    <w:rsid w:val="5AED34A5"/>
    <w:rsid w:val="5C2623FC"/>
    <w:rsid w:val="5CF30382"/>
    <w:rsid w:val="5DDF71CC"/>
    <w:rsid w:val="5EA15E3A"/>
    <w:rsid w:val="5EBA0834"/>
    <w:rsid w:val="5F077C7D"/>
    <w:rsid w:val="5F0F2305"/>
    <w:rsid w:val="5F386AB9"/>
    <w:rsid w:val="5FB445A7"/>
    <w:rsid w:val="60D64398"/>
    <w:rsid w:val="6269653C"/>
    <w:rsid w:val="62C758EE"/>
    <w:rsid w:val="63C759CB"/>
    <w:rsid w:val="63ED1B9D"/>
    <w:rsid w:val="64113660"/>
    <w:rsid w:val="64541745"/>
    <w:rsid w:val="64D71FA0"/>
    <w:rsid w:val="65433F99"/>
    <w:rsid w:val="65E12CB1"/>
    <w:rsid w:val="66156A5B"/>
    <w:rsid w:val="66337137"/>
    <w:rsid w:val="66783850"/>
    <w:rsid w:val="66811624"/>
    <w:rsid w:val="676A28A6"/>
    <w:rsid w:val="678700AC"/>
    <w:rsid w:val="679E37D3"/>
    <w:rsid w:val="67A54FE6"/>
    <w:rsid w:val="67B676AC"/>
    <w:rsid w:val="67CA6320"/>
    <w:rsid w:val="6A026F1B"/>
    <w:rsid w:val="6AB03C17"/>
    <w:rsid w:val="6AF83B9D"/>
    <w:rsid w:val="6B3405A9"/>
    <w:rsid w:val="6C332483"/>
    <w:rsid w:val="6C9840E9"/>
    <w:rsid w:val="6C9E4081"/>
    <w:rsid w:val="6CCA357A"/>
    <w:rsid w:val="6DD864BA"/>
    <w:rsid w:val="6E496FB4"/>
    <w:rsid w:val="6E7E6FD3"/>
    <w:rsid w:val="6ED6642E"/>
    <w:rsid w:val="6EE403AE"/>
    <w:rsid w:val="6F4257E7"/>
    <w:rsid w:val="6F9447BF"/>
    <w:rsid w:val="6FC66BC9"/>
    <w:rsid w:val="705E1AAA"/>
    <w:rsid w:val="707172BA"/>
    <w:rsid w:val="714F37D5"/>
    <w:rsid w:val="71770985"/>
    <w:rsid w:val="72707CCC"/>
    <w:rsid w:val="72E60991"/>
    <w:rsid w:val="73834CBB"/>
    <w:rsid w:val="73AA1554"/>
    <w:rsid w:val="74A935CF"/>
    <w:rsid w:val="75E45954"/>
    <w:rsid w:val="764300EF"/>
    <w:rsid w:val="764C7273"/>
    <w:rsid w:val="7659533A"/>
    <w:rsid w:val="766A4FEA"/>
    <w:rsid w:val="76AB011B"/>
    <w:rsid w:val="76E419F3"/>
    <w:rsid w:val="76EC024F"/>
    <w:rsid w:val="784F3FF2"/>
    <w:rsid w:val="78821CBB"/>
    <w:rsid w:val="78E6637F"/>
    <w:rsid w:val="79412E47"/>
    <w:rsid w:val="7A280528"/>
    <w:rsid w:val="7A32686E"/>
    <w:rsid w:val="7AA01711"/>
    <w:rsid w:val="7AB0710D"/>
    <w:rsid w:val="7BA70475"/>
    <w:rsid w:val="7BA85671"/>
    <w:rsid w:val="7BB861F4"/>
    <w:rsid w:val="7D030C51"/>
    <w:rsid w:val="7D5B39D2"/>
    <w:rsid w:val="7DA950DC"/>
    <w:rsid w:val="7E797E76"/>
    <w:rsid w:val="7E8A3CF1"/>
    <w:rsid w:val="7E9614FA"/>
    <w:rsid w:val="7EB6255A"/>
    <w:rsid w:val="7F0237C6"/>
    <w:rsid w:val="7FE01C3A"/>
    <w:rsid w:val="7FE0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A4767"/>
      <w:u w:val="none"/>
    </w:rPr>
  </w:style>
  <w:style w:type="character" w:styleId="9">
    <w:name w:val="Hyperlink"/>
    <w:basedOn w:val="7"/>
    <w:qFormat/>
    <w:uiPriority w:val="0"/>
    <w:rPr>
      <w:color w:val="3A4767"/>
      <w:u w:val="none"/>
    </w:rPr>
  </w:style>
  <w:style w:type="paragraph" w:customStyle="1" w:styleId="10">
    <w:name w:val="Char"/>
    <w:basedOn w:val="1"/>
    <w:qFormat/>
    <w:uiPriority w:val="0"/>
    <w:pPr>
      <w:tabs>
        <w:tab w:val="left" w:pos="0"/>
      </w:tabs>
      <w:adjustRightInd w:val="0"/>
      <w:snapToGrid w:val="0"/>
      <w:spacing w:beforeLines="150" w:afterLines="100" w:line="360" w:lineRule="auto"/>
      <w:ind w:firstLine="192" w:firstLineChars="192"/>
    </w:pPr>
    <w:rPr>
      <w:sz w:val="28"/>
    </w:rPr>
  </w:style>
  <w:style w:type="character" w:customStyle="1" w:styleId="11">
    <w:name w:val="layui-this"/>
    <w:basedOn w:val="7"/>
    <w:qFormat/>
    <w:uiPriority w:val="0"/>
    <w:rPr>
      <w:bdr w:val="single" w:color="EEEEEE" w:sz="6" w:space="0"/>
      <w:shd w:val="clear" w:fill="FFFFFF"/>
    </w:rPr>
  </w:style>
  <w:style w:type="character" w:customStyle="1" w:styleId="12">
    <w:name w:val="first-child"/>
    <w:basedOn w:val="7"/>
    <w:qFormat/>
    <w:uiPriority w:val="0"/>
  </w:style>
  <w:style w:type="character" w:customStyle="1" w:styleId="13">
    <w:name w:val="ui-icon45"/>
    <w:basedOn w:val="7"/>
    <w:qFormat/>
    <w:uiPriority w:val="0"/>
  </w:style>
  <w:style w:type="character" w:customStyle="1" w:styleId="14">
    <w:name w:val="ui-icon46"/>
    <w:basedOn w:val="7"/>
    <w:qFormat/>
    <w:uiPriority w:val="0"/>
  </w:style>
  <w:style w:type="character" w:customStyle="1" w:styleId="15">
    <w:name w:val="edui-clickable2"/>
    <w:basedOn w:val="7"/>
    <w:qFormat/>
    <w:uiPriority w:val="0"/>
    <w:rPr>
      <w:color w:val="0000FF"/>
      <w:u w:val="single"/>
    </w:rPr>
  </w:style>
  <w:style w:type="character" w:customStyle="1" w:styleId="16">
    <w:name w:val="edui-unclickable"/>
    <w:basedOn w:val="7"/>
    <w:qFormat/>
    <w:uiPriority w:val="0"/>
    <w:rPr>
      <w:color w:val="808080"/>
    </w:rPr>
  </w:style>
  <w:style w:type="character" w:customStyle="1" w:styleId="17">
    <w:name w:val="ui-icon48"/>
    <w:basedOn w:val="7"/>
    <w:qFormat/>
    <w:uiPriority w:val="0"/>
  </w:style>
  <w:style w:type="character" w:customStyle="1" w:styleId="18">
    <w:name w:val="ui-icon49"/>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净净</cp:lastModifiedBy>
  <cp:lastPrinted>2020-09-29T07:36:00Z</cp:lastPrinted>
  <dcterms:modified xsi:type="dcterms:W3CDTF">2021-05-12T06:11:48Z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D6AD7D2E885D4734B7951CF1689A67C7</vt:lpwstr>
  </property>
</Properties>
</file>