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79" w:lineRule="exact"/>
        <w:ind w:right="0" w:rightChars="0"/>
        <w:jc w:val="left"/>
        <w:textAlignment w:val="auto"/>
        <w:outlineLvl w:val="9"/>
        <w:rPr>
          <w:rFonts w:hint="default" w:eastAsia="黑体" w:cs="Times New Roman"/>
          <w:bCs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79" w:lineRule="exact"/>
        <w:ind w:right="0" w:rightChars="0"/>
        <w:jc w:val="left"/>
        <w:textAlignment w:val="auto"/>
        <w:outlineLvl w:val="9"/>
        <w:rPr>
          <w:rFonts w:eastAsia="方正小标宋简体"/>
          <w:spacing w:val="-20"/>
          <w:kern w:val="0"/>
          <w:sz w:val="44"/>
          <w:szCs w:val="44"/>
          <w:lang w:val="en-US"/>
        </w:rPr>
      </w:pPr>
      <w:r>
        <w:rPr>
          <w:rFonts w:hint="default" w:eastAsia="黑体" w:cs="Times New Roman"/>
          <w:bCs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bCs/>
          <w:sz w:val="32"/>
          <w:szCs w:val="32"/>
          <w:lang w:val="en-US" w:eastAsia="zh-CN"/>
        </w:rPr>
        <w:t>2</w:t>
      </w:r>
    </w:p>
    <w:p>
      <w:pPr>
        <w:spacing w:line="520" w:lineRule="exact"/>
        <w:jc w:val="both"/>
        <w:rPr>
          <w:rFonts w:eastAsia="方正小标宋简体"/>
          <w:spacing w:val="-20"/>
          <w:kern w:val="0"/>
          <w:sz w:val="36"/>
          <w:szCs w:val="36"/>
        </w:rPr>
      </w:pPr>
    </w:p>
    <w:p>
      <w:pPr>
        <w:spacing w:line="520" w:lineRule="exact"/>
        <w:ind w:left="2615" w:hanging="1896" w:hangingChars="600"/>
        <w:jc w:val="center"/>
        <w:rPr>
          <w:rFonts w:eastAsia="方正小标宋简体"/>
          <w:spacing w:val="-20"/>
          <w:kern w:val="0"/>
          <w:sz w:val="36"/>
          <w:szCs w:val="36"/>
        </w:rPr>
      </w:pPr>
      <w:r>
        <w:rPr>
          <w:rFonts w:eastAsia="方正小标宋简体"/>
          <w:spacing w:val="-20"/>
          <w:kern w:val="0"/>
          <w:sz w:val="36"/>
          <w:szCs w:val="36"/>
        </w:rPr>
        <w:t>浙江省</w:t>
      </w:r>
      <w:r>
        <w:rPr>
          <w:rFonts w:hint="default" w:eastAsia="方正小标宋简体"/>
          <w:spacing w:val="-20"/>
          <w:kern w:val="0"/>
          <w:sz w:val="36"/>
          <w:szCs w:val="36"/>
        </w:rPr>
        <w:t>“</w:t>
      </w:r>
      <w:r>
        <w:rPr>
          <w:rFonts w:eastAsia="方正小标宋简体"/>
          <w:spacing w:val="-20"/>
          <w:kern w:val="0"/>
          <w:sz w:val="36"/>
          <w:szCs w:val="36"/>
        </w:rPr>
        <w:t>一带一路</w:t>
      </w:r>
      <w:r>
        <w:rPr>
          <w:rFonts w:hint="default" w:eastAsia="方正小标宋简体"/>
          <w:spacing w:val="-20"/>
          <w:kern w:val="0"/>
          <w:sz w:val="36"/>
          <w:szCs w:val="36"/>
        </w:rPr>
        <w:t>”</w:t>
      </w:r>
      <w:r>
        <w:rPr>
          <w:rFonts w:eastAsia="方正小标宋简体"/>
          <w:spacing w:val="-20"/>
          <w:kern w:val="0"/>
          <w:sz w:val="36"/>
          <w:szCs w:val="36"/>
        </w:rPr>
        <w:t>建设先进个人</w:t>
      </w:r>
      <w:r>
        <w:rPr>
          <w:rFonts w:hint="eastAsia" w:eastAsia="方正小标宋简体"/>
          <w:spacing w:val="-20"/>
          <w:kern w:val="0"/>
          <w:sz w:val="36"/>
          <w:szCs w:val="36"/>
          <w:lang w:val="en-US" w:eastAsia="zh-CN"/>
        </w:rPr>
        <w:t>拟</w:t>
      </w:r>
      <w:r>
        <w:rPr>
          <w:rFonts w:eastAsia="方正小标宋简体"/>
          <w:spacing w:val="-20"/>
          <w:kern w:val="0"/>
          <w:sz w:val="36"/>
          <w:szCs w:val="36"/>
        </w:rPr>
        <w:t>推荐</w:t>
      </w:r>
      <w:r>
        <w:rPr>
          <w:rFonts w:hint="eastAsia" w:eastAsia="方正小标宋简体"/>
          <w:spacing w:val="-20"/>
          <w:kern w:val="0"/>
          <w:sz w:val="36"/>
          <w:szCs w:val="36"/>
          <w:lang w:val="en-US" w:eastAsia="zh-CN"/>
        </w:rPr>
        <w:t>人选基本情况</w:t>
      </w:r>
    </w:p>
    <w:p>
      <w:pPr>
        <w:spacing w:line="400" w:lineRule="exact"/>
        <w:rPr>
          <w:kern w:val="0"/>
          <w:sz w:val="24"/>
          <w:u w:val="single"/>
        </w:rPr>
      </w:pPr>
    </w:p>
    <w:tbl>
      <w:tblPr>
        <w:tblStyle w:val="8"/>
        <w:tblW w:w="9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855"/>
        <w:gridCol w:w="1180"/>
        <w:gridCol w:w="1425"/>
        <w:gridCol w:w="5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eastAsia="黑体" w:cs="Times New Roman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姓名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工作单位和职务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eastAsia="黑体" w:cs="Times New Roman"/>
                <w:kern w:val="0"/>
                <w:sz w:val="24"/>
                <w:lang w:val="en-US" w:eastAsia="zh-CN"/>
              </w:rPr>
              <w:t>推荐单位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eastAsia="黑体" w:cs="Times New Roman"/>
                <w:kern w:val="0"/>
                <w:sz w:val="24"/>
                <w:lang w:val="en-US" w:eastAsia="zh-CN"/>
              </w:rPr>
              <w:t>主要事迹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55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岑咏</w:t>
            </w:r>
          </w:p>
        </w:tc>
        <w:tc>
          <w:tcPr>
            <w:tcW w:w="118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宁波职业技术学院党委委员、宣传部部长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丝路学院执行院长</w:t>
            </w:r>
          </w:p>
        </w:tc>
        <w:tc>
          <w:tcPr>
            <w:tcW w:w="1425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市教育局</w:t>
            </w:r>
          </w:p>
        </w:tc>
        <w:tc>
          <w:tcPr>
            <w:tcW w:w="5540" w:type="dxa"/>
            <w:vAlign w:val="top"/>
          </w:tcPr>
          <w:p>
            <w:pPr>
              <w:spacing w:line="480" w:lineRule="exact"/>
              <w:ind w:firstLine="412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对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宁职院打造服务“一带一路”的职教国际品牌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作出重要贡献，接待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柬埔寨洪森亲王及夫人奖学金协会会长、首相长子洪马内阁下，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以及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南非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肯尼亚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贝宁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波兰、哈萨克斯坦等国驻华使领馆官员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数十批“一带一路”国家政要官员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并为宁波获得多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次高度评价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东帝汶总理夫人伊莎贝尔来宁波看望45名东帝汶学生，听闻“中国妈妈”的故事后深受感动，特意给宁职院写来感谢信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受国家国际发展合作署委托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率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团赴老挝调研，深度挖掘老挝产业行业概况和职业教育现状，推动职业教育顶层设计与“宁波模式”职教方案的输出，形成促进“一带一路”民心相通的软援助方案15万余字，得到国家国合署的高度认可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5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55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项乐宏</w:t>
            </w:r>
          </w:p>
        </w:tc>
        <w:tc>
          <w:tcPr>
            <w:tcW w:w="118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乐歌人体工学科技股份有限公司董事长兼总经理</w:t>
            </w:r>
          </w:p>
        </w:tc>
        <w:tc>
          <w:tcPr>
            <w:tcW w:w="1425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鄞州区发改局</w:t>
            </w:r>
          </w:p>
        </w:tc>
        <w:tc>
          <w:tcPr>
            <w:tcW w:w="5540" w:type="dxa"/>
            <w:vAlign w:val="top"/>
          </w:tcPr>
          <w:p>
            <w:pPr>
              <w:spacing w:line="480" w:lineRule="exact"/>
              <w:ind w:firstLine="412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积极参与“一带一路”建设，带领乐歌股份“走出去”，已在全球开设25家分子公司，拥有员工超过4000人，其中，在越南设立大型人体工学生产基地，并在菲律宾、德国等开设海外子公司，并在中东欧国家提前布局20个海外仓，预计5-10内实现全球100个海外仓的全版图布局。在6月1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日中央新闻联播中，与李克强总理视频连线，获得总理对于乐歌股份公司“创新型企业”和“平台型企业”的双重肯定</w:t>
            </w:r>
          </w:p>
          <w:p>
            <w:pPr>
              <w:pStyle w:val="3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5" w:type="dxa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董善华</w:t>
            </w:r>
          </w:p>
        </w:tc>
        <w:tc>
          <w:tcPr>
            <w:tcW w:w="1180" w:type="dxa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宁波航运交易所有限公司董事长</w:t>
            </w:r>
          </w:p>
        </w:tc>
        <w:tc>
          <w:tcPr>
            <w:tcW w:w="1425" w:type="dxa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市发改委</w:t>
            </w:r>
          </w:p>
        </w:tc>
        <w:tc>
          <w:tcPr>
            <w:tcW w:w="5540" w:type="dxa"/>
          </w:tcPr>
          <w:p>
            <w:pPr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带领宁波航交所团队开拓创新，研究并发布了“海上丝路”系列指数，为国际航运和国际贸易企业提供信息参考和趋势判断，也为各国政府评估“一带一路”倡议实施效果和政策调整提供重要依据。海上丝路指数先后两次被列入国家“一带一路”重点工作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二届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“一带一路”国际合作高峰论坛成果清单，写入国家“十三五”规划纲要，并作为习主席访英成果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之一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成功登陆波罗的海交易所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55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夏峰</w:t>
            </w:r>
          </w:p>
        </w:tc>
        <w:tc>
          <w:tcPr>
            <w:tcW w:w="118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宁波东方电缆股份有限公司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总裁</w:t>
            </w:r>
          </w:p>
        </w:tc>
        <w:tc>
          <w:tcPr>
            <w:tcW w:w="1425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市科技局</w:t>
            </w:r>
          </w:p>
        </w:tc>
        <w:tc>
          <w:tcPr>
            <w:tcW w:w="5540" w:type="dxa"/>
            <w:vAlign w:val="top"/>
          </w:tcPr>
          <w:p>
            <w:pPr>
              <w:spacing w:line="480" w:lineRule="exact"/>
              <w:ind w:firstLine="412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带领公司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积极响应国家“走出去”发展战略，利用自身的技术优势和拳头产品，成功进入越南、伊朗、孟加拉等“一带一路”沿线国家的市场，为当地的电力传输提供了质优价廉的产品和服务，以先进的技术、过硬的质量和诚信的服务为国家“一带一路”重要枢纽建设赢得了良好的声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派出特别技术组赴圭亚那成功完成电缆修复工作，为圭亚那实现圣诞节前通电提供了有力保障，得到了圭政府和社会的一直认可和称赞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受到中央级媒体重点宣传报道</w:t>
            </w:r>
          </w:p>
        </w:tc>
      </w:tr>
    </w:tbl>
    <w:p>
      <w:pPr>
        <w:spacing w:beforeLines="0" w:afterLines="0" w:line="579" w:lineRule="exac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098" w:right="1474" w:bottom="1985" w:left="1588" w:header="851" w:footer="1588" w:gutter="0"/>
      <w:pgNumType w:fmt="decimal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lY197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dit="forms" w:enforcement="0"/>
  <w:defaultTabStop w:val="420"/>
  <w:hyphenationZone w:val="36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0.200.0.150:80/seeyon/officeservlet"/>
  </w:docVars>
  <w:rsids>
    <w:rsidRoot w:val="004835A4"/>
    <w:rsid w:val="00041932"/>
    <w:rsid w:val="0008195A"/>
    <w:rsid w:val="000F365A"/>
    <w:rsid w:val="0012063B"/>
    <w:rsid w:val="00161AD6"/>
    <w:rsid w:val="001C72A9"/>
    <w:rsid w:val="00206AA2"/>
    <w:rsid w:val="002A67CC"/>
    <w:rsid w:val="0031708F"/>
    <w:rsid w:val="00400942"/>
    <w:rsid w:val="004835A4"/>
    <w:rsid w:val="00647F33"/>
    <w:rsid w:val="006E7236"/>
    <w:rsid w:val="007649DC"/>
    <w:rsid w:val="008250B5"/>
    <w:rsid w:val="00885498"/>
    <w:rsid w:val="00893FEC"/>
    <w:rsid w:val="008D7067"/>
    <w:rsid w:val="008E6583"/>
    <w:rsid w:val="00976DED"/>
    <w:rsid w:val="009D7434"/>
    <w:rsid w:val="00A14098"/>
    <w:rsid w:val="00A41E28"/>
    <w:rsid w:val="00C758D1"/>
    <w:rsid w:val="00CD0F42"/>
    <w:rsid w:val="00CE617F"/>
    <w:rsid w:val="00CF1409"/>
    <w:rsid w:val="00DA5188"/>
    <w:rsid w:val="00E45B53"/>
    <w:rsid w:val="00E76EAD"/>
    <w:rsid w:val="00E83AAA"/>
    <w:rsid w:val="00EA160D"/>
    <w:rsid w:val="00ED7CBA"/>
    <w:rsid w:val="00F11278"/>
    <w:rsid w:val="00F52283"/>
    <w:rsid w:val="00F72C24"/>
    <w:rsid w:val="00FB1FD5"/>
    <w:rsid w:val="0454085C"/>
    <w:rsid w:val="088A4179"/>
    <w:rsid w:val="0C3E6337"/>
    <w:rsid w:val="0E6C1E04"/>
    <w:rsid w:val="177952FD"/>
    <w:rsid w:val="19B67E3F"/>
    <w:rsid w:val="1C720DD3"/>
    <w:rsid w:val="275C3796"/>
    <w:rsid w:val="28A105FD"/>
    <w:rsid w:val="3371132F"/>
    <w:rsid w:val="33C53D4B"/>
    <w:rsid w:val="357B1889"/>
    <w:rsid w:val="38E577F6"/>
    <w:rsid w:val="3ACC071E"/>
    <w:rsid w:val="472C6065"/>
    <w:rsid w:val="4EAA0F6F"/>
    <w:rsid w:val="636B7496"/>
    <w:rsid w:val="68EB7A59"/>
    <w:rsid w:val="69D2476E"/>
    <w:rsid w:val="6DFA62BF"/>
    <w:rsid w:val="6F7F131A"/>
    <w:rsid w:val="729D6294"/>
    <w:rsid w:val="73557842"/>
    <w:rsid w:val="78C74B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Theme="minorHAnsi" w:hAnsiTheme="minorHAnsi" w:cstheme="minorBidi"/>
      <w:szCs w:val="22"/>
    </w:rPr>
  </w:style>
  <w:style w:type="paragraph" w:styleId="3">
    <w:name w:val="Body Text"/>
    <w:basedOn w:val="1"/>
    <w:qFormat/>
    <w:uiPriority w:val="99"/>
    <w:pPr>
      <w:autoSpaceDE w:val="0"/>
      <w:autoSpaceDN w:val="0"/>
      <w:ind w:left="106" w:leftChars="0"/>
      <w:jc w:val="left"/>
    </w:pPr>
    <w:rPr>
      <w:rFonts w:ascii="仿宋" w:hAnsi="Times New Roman" w:cs="仿宋"/>
      <w:kern w:val="0"/>
      <w:sz w:val="28"/>
      <w:szCs w:val="28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FollowedHyperlink"/>
    <w:basedOn w:val="9"/>
    <w:qFormat/>
    <w:uiPriority w:val="0"/>
    <w:rPr>
      <w:color w:val="3A4767"/>
      <w:u w:val="none"/>
    </w:rPr>
  </w:style>
  <w:style w:type="character" w:styleId="11">
    <w:name w:val="Hyperlink"/>
    <w:basedOn w:val="9"/>
    <w:qFormat/>
    <w:uiPriority w:val="0"/>
    <w:rPr>
      <w:color w:val="3A4767"/>
      <w:u w:val="none"/>
    </w:rPr>
  </w:style>
  <w:style w:type="paragraph" w:customStyle="1" w:styleId="12">
    <w:name w:val="Char Char Char Char"/>
    <w:basedOn w:val="1"/>
    <w:qFormat/>
    <w:uiPriority w:val="0"/>
    <w:rPr>
      <w:rFonts w:ascii="仿宋_GB2312"/>
      <w:b/>
    </w:rPr>
  </w:style>
  <w:style w:type="character" w:customStyle="1" w:styleId="13">
    <w:name w:val="页眉 Char"/>
    <w:link w:val="6"/>
    <w:qFormat/>
    <w:uiPriority w:val="0"/>
    <w:rPr>
      <w:rFonts w:eastAsia="仿宋_GB2312"/>
      <w:kern w:val="2"/>
      <w:sz w:val="18"/>
      <w:szCs w:val="18"/>
    </w:rPr>
  </w:style>
  <w:style w:type="character" w:customStyle="1" w:styleId="14">
    <w:name w:val="页脚 Char"/>
    <w:link w:val="5"/>
    <w:qFormat/>
    <w:uiPriority w:val="0"/>
    <w:rPr>
      <w:rFonts w:eastAsia="仿宋_GB2312"/>
      <w:kern w:val="2"/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rFonts w:asciiTheme="minorHAnsi" w:hAnsiTheme="minorHAnsi" w:cstheme="minorBidi"/>
      <w:szCs w:val="22"/>
    </w:rPr>
  </w:style>
  <w:style w:type="character" w:customStyle="1" w:styleId="16">
    <w:name w:val="first-child"/>
    <w:basedOn w:val="9"/>
    <w:qFormat/>
    <w:uiPriority w:val="0"/>
  </w:style>
  <w:style w:type="character" w:customStyle="1" w:styleId="17">
    <w:name w:val="layui-this"/>
    <w:basedOn w:val="9"/>
    <w:qFormat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qib</dc:creator>
  <cp:lastModifiedBy>净净</cp:lastModifiedBy>
  <cp:lastPrinted>2020-12-25T03:23:00Z</cp:lastPrinted>
  <dcterms:modified xsi:type="dcterms:W3CDTF">2021-01-18T02:26:15Z</dcterms:modified>
  <dc:title>浙江省推进“一带一路”建设工作领导小组办公室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