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DDE" w:rsidRPr="00E501BE" w:rsidRDefault="000F5DDE" w:rsidP="000F5DDE">
      <w:pPr>
        <w:spacing w:line="360" w:lineRule="auto"/>
        <w:rPr>
          <w:rFonts w:ascii="黑体" w:eastAsia="黑体"/>
          <w:sz w:val="30"/>
          <w:szCs w:val="30"/>
        </w:rPr>
      </w:pPr>
      <w:r w:rsidRPr="00E501BE">
        <w:rPr>
          <w:rFonts w:ascii="黑体" w:eastAsia="黑体" w:hint="eastAsia"/>
          <w:sz w:val="30"/>
          <w:szCs w:val="30"/>
        </w:rPr>
        <w:t>附件</w:t>
      </w:r>
      <w:r w:rsidRPr="007E627C">
        <w:rPr>
          <w:rFonts w:ascii="黑体" w:eastAsia="黑体" w:hint="eastAsia"/>
          <w:sz w:val="30"/>
          <w:szCs w:val="30"/>
        </w:rPr>
        <w:t>：</w:t>
      </w:r>
    </w:p>
    <w:p w:rsidR="00F544E9" w:rsidRDefault="00F544E9" w:rsidP="000F5DDE">
      <w:pPr>
        <w:spacing w:line="600" w:lineRule="exact"/>
        <w:jc w:val="center"/>
        <w:rPr>
          <w:rFonts w:ascii="方正小标宋简体" w:eastAsia="方正小标宋简体"/>
          <w:sz w:val="36"/>
          <w:szCs w:val="36"/>
        </w:rPr>
      </w:pPr>
    </w:p>
    <w:p w:rsidR="000F5DDE" w:rsidRPr="00652342" w:rsidRDefault="000F5DDE" w:rsidP="000F5DDE">
      <w:pPr>
        <w:spacing w:line="600" w:lineRule="exact"/>
        <w:jc w:val="center"/>
        <w:rPr>
          <w:rFonts w:ascii="方正小标宋简体" w:eastAsia="方正小标宋简体"/>
          <w:sz w:val="36"/>
          <w:szCs w:val="36"/>
        </w:rPr>
      </w:pPr>
      <w:r w:rsidRPr="000F5DDE">
        <w:rPr>
          <w:rFonts w:ascii="方正小标宋简体" w:eastAsia="方正小标宋简体" w:hint="eastAsia"/>
          <w:sz w:val="36"/>
          <w:szCs w:val="36"/>
        </w:rPr>
        <w:t>充分发挥企业债券融资功能支持重点项目建设促进经济平稳较快发展</w:t>
      </w:r>
    </w:p>
    <w:p w:rsidR="000F5DDE" w:rsidRPr="000F5DDE" w:rsidRDefault="000F5DDE" w:rsidP="000F5DDE"/>
    <w:p w:rsidR="000F5DDE" w:rsidRPr="000F5DDE" w:rsidRDefault="000F5DDE" w:rsidP="000F5DDE">
      <w:pPr>
        <w:rPr>
          <w:rFonts w:ascii="仿宋_GB2312" w:eastAsia="仿宋_GB2312"/>
          <w:sz w:val="32"/>
          <w:szCs w:val="32"/>
        </w:rPr>
      </w:pPr>
      <w:r w:rsidRPr="000F5DDE">
        <w:rPr>
          <w:rFonts w:ascii="仿宋_GB2312" w:eastAsia="仿宋_GB2312" w:hint="eastAsia"/>
          <w:sz w:val="32"/>
          <w:szCs w:val="32"/>
        </w:rPr>
        <w:t>一、鼓励优质企业发债用于重点领域、重点项目融资</w:t>
      </w:r>
    </w:p>
    <w:p w:rsidR="000F5DDE" w:rsidRPr="000F5DDE" w:rsidRDefault="000F5DDE" w:rsidP="000F5DDE">
      <w:pPr>
        <w:rPr>
          <w:rFonts w:ascii="仿宋_GB2312" w:eastAsia="仿宋_GB2312"/>
          <w:sz w:val="32"/>
          <w:szCs w:val="32"/>
        </w:rPr>
      </w:pPr>
      <w:r w:rsidRPr="000F5DDE">
        <w:rPr>
          <w:rFonts w:ascii="仿宋_GB2312" w:eastAsia="仿宋_GB2312" w:hint="eastAsia"/>
          <w:sz w:val="32"/>
          <w:szCs w:val="32"/>
        </w:rPr>
        <w:t xml:space="preserve">　　（一）对于债项信用等级为AAA级、或由资信状况良好的担保公司（主体评级在AA+及以上）提供第三方担保、或使用有效资产进行抵质押担保使债项级别达到AA+及以上的债券，募集资金用于七大类重大投资工程包、六大领域消费工程项目融资，不受发债企业数量指标的限制。</w:t>
      </w:r>
    </w:p>
    <w:p w:rsidR="000F5DDE" w:rsidRPr="000F5DDE" w:rsidRDefault="000F5DDE" w:rsidP="000F5DDE">
      <w:pPr>
        <w:rPr>
          <w:rFonts w:ascii="仿宋_GB2312" w:eastAsia="仿宋_GB2312"/>
          <w:sz w:val="32"/>
          <w:szCs w:val="32"/>
        </w:rPr>
      </w:pPr>
      <w:r w:rsidRPr="000F5DDE">
        <w:rPr>
          <w:rFonts w:ascii="仿宋_GB2312" w:eastAsia="仿宋_GB2312" w:hint="eastAsia"/>
          <w:sz w:val="32"/>
          <w:szCs w:val="32"/>
        </w:rPr>
        <w:t xml:space="preserve">　　（二）发行战略性新兴产业、养老产业、城市地下综合管廊建设、城市停车场建设、创新创业示范基地建设、电网改造等重点领域专项债券，不受发债企业数量指标的限制。</w:t>
      </w:r>
    </w:p>
    <w:p w:rsidR="000F5DDE" w:rsidRPr="000F5DDE" w:rsidRDefault="000F5DDE" w:rsidP="000F5DDE">
      <w:pPr>
        <w:rPr>
          <w:rFonts w:ascii="仿宋_GB2312" w:eastAsia="仿宋_GB2312"/>
          <w:sz w:val="32"/>
          <w:szCs w:val="32"/>
        </w:rPr>
      </w:pPr>
      <w:r w:rsidRPr="000F5DDE">
        <w:rPr>
          <w:rFonts w:ascii="仿宋_GB2312" w:eastAsia="仿宋_GB2312" w:hint="eastAsia"/>
          <w:sz w:val="32"/>
          <w:szCs w:val="32"/>
        </w:rPr>
        <w:t xml:space="preserve">　　二、支持县域企业发行企业债券融资</w:t>
      </w:r>
    </w:p>
    <w:p w:rsidR="000F5DDE" w:rsidRPr="000F5DDE" w:rsidRDefault="000F5DDE" w:rsidP="000F5DDE">
      <w:pPr>
        <w:rPr>
          <w:rFonts w:ascii="仿宋_GB2312" w:eastAsia="仿宋_GB2312"/>
          <w:sz w:val="32"/>
          <w:szCs w:val="32"/>
        </w:rPr>
      </w:pPr>
      <w:r w:rsidRPr="000F5DDE">
        <w:rPr>
          <w:rFonts w:ascii="仿宋_GB2312" w:eastAsia="仿宋_GB2312" w:hint="eastAsia"/>
          <w:sz w:val="32"/>
          <w:szCs w:val="32"/>
        </w:rPr>
        <w:t xml:space="preserve">　　（三）县域企业发行用于重点领域、重点项目建设的优质企业债和专项债券（见（一）、（二）），不受发债企业数量指标的限制。</w:t>
      </w:r>
    </w:p>
    <w:p w:rsidR="000F5DDE" w:rsidRPr="000F5DDE" w:rsidRDefault="000F5DDE" w:rsidP="000F5DDE">
      <w:pPr>
        <w:rPr>
          <w:rFonts w:ascii="仿宋_GB2312" w:eastAsia="仿宋_GB2312"/>
          <w:sz w:val="32"/>
          <w:szCs w:val="32"/>
        </w:rPr>
      </w:pPr>
      <w:r w:rsidRPr="000F5DDE">
        <w:rPr>
          <w:rFonts w:ascii="仿宋_GB2312" w:eastAsia="仿宋_GB2312" w:hint="eastAsia"/>
          <w:sz w:val="32"/>
          <w:szCs w:val="32"/>
        </w:rPr>
        <w:t xml:space="preserve">　　三、科学设置企业债券发行条件</w:t>
      </w:r>
    </w:p>
    <w:p w:rsidR="000F5DDE" w:rsidRPr="000F5DDE" w:rsidRDefault="000F5DDE" w:rsidP="000F5DDE">
      <w:pPr>
        <w:rPr>
          <w:rFonts w:ascii="仿宋_GB2312" w:eastAsia="仿宋_GB2312"/>
          <w:sz w:val="32"/>
          <w:szCs w:val="32"/>
        </w:rPr>
      </w:pPr>
      <w:r w:rsidRPr="000F5DDE">
        <w:rPr>
          <w:rFonts w:ascii="仿宋_GB2312" w:eastAsia="仿宋_GB2312" w:hint="eastAsia"/>
          <w:sz w:val="32"/>
          <w:szCs w:val="32"/>
        </w:rPr>
        <w:t xml:space="preserve">　　（四）将城投</w:t>
      </w:r>
      <w:bookmarkStart w:id="0" w:name="_GoBack"/>
      <w:bookmarkEnd w:id="0"/>
      <w:r w:rsidRPr="000F5DDE">
        <w:rPr>
          <w:rFonts w:ascii="仿宋_GB2312" w:eastAsia="仿宋_GB2312" w:hint="eastAsia"/>
          <w:sz w:val="32"/>
          <w:szCs w:val="32"/>
        </w:rPr>
        <w:t>类企业和一般生产经营类企业需提供担保措施的资产负债率要求分别放宽至65%和75%；主体评级AA+的，相应资产负债率要求放宽至70%和80%；主体评级AAA的，相应资产负债率要求进一步放宽至75%和85%。</w:t>
      </w:r>
    </w:p>
    <w:p w:rsidR="000F5DDE" w:rsidRPr="000F5DDE" w:rsidRDefault="000F5DDE" w:rsidP="000F5DDE">
      <w:pPr>
        <w:rPr>
          <w:rFonts w:ascii="仿宋_GB2312" w:eastAsia="仿宋_GB2312"/>
          <w:sz w:val="32"/>
          <w:szCs w:val="32"/>
        </w:rPr>
      </w:pPr>
      <w:r w:rsidRPr="000F5DDE">
        <w:rPr>
          <w:rFonts w:ascii="仿宋_GB2312" w:eastAsia="仿宋_GB2312" w:hint="eastAsia"/>
          <w:sz w:val="32"/>
          <w:szCs w:val="32"/>
        </w:rPr>
        <w:lastRenderedPageBreak/>
        <w:t xml:space="preserve">　　（五）对符合条件的企业发行债券，可按照“净利润”和“归属于母公司股东净利润”孰高者测算净利润指标。</w:t>
      </w:r>
    </w:p>
    <w:p w:rsidR="000F5DDE" w:rsidRPr="000F5DDE" w:rsidRDefault="000F5DDE" w:rsidP="000F5DDE">
      <w:pPr>
        <w:rPr>
          <w:rFonts w:ascii="仿宋_GB2312" w:eastAsia="仿宋_GB2312"/>
          <w:sz w:val="32"/>
          <w:szCs w:val="32"/>
        </w:rPr>
      </w:pPr>
      <w:r w:rsidRPr="000F5DDE">
        <w:rPr>
          <w:rFonts w:ascii="仿宋_GB2312" w:eastAsia="仿宋_GB2312" w:hint="eastAsia"/>
          <w:sz w:val="32"/>
          <w:szCs w:val="32"/>
        </w:rPr>
        <w:t xml:space="preserve">　　（六）将债券募集资金占项目总投资比例放宽至不超过70%。</w:t>
      </w:r>
    </w:p>
    <w:p w:rsidR="000F5DDE" w:rsidRPr="000F5DDE" w:rsidRDefault="000F5DDE" w:rsidP="000F5DDE">
      <w:pPr>
        <w:rPr>
          <w:rFonts w:ascii="仿宋_GB2312" w:eastAsia="仿宋_GB2312"/>
          <w:sz w:val="32"/>
          <w:szCs w:val="32"/>
        </w:rPr>
      </w:pPr>
      <w:r w:rsidRPr="000F5DDE">
        <w:rPr>
          <w:rFonts w:ascii="仿宋_GB2312" w:eastAsia="仿宋_GB2312" w:hint="eastAsia"/>
          <w:sz w:val="32"/>
          <w:szCs w:val="32"/>
        </w:rPr>
        <w:t xml:space="preserve">　　四、合理确定和把握区域经济和债券风险迹象预警线</w:t>
      </w:r>
    </w:p>
    <w:p w:rsidR="000F5DDE" w:rsidRPr="000F5DDE" w:rsidRDefault="000F5DDE" w:rsidP="000F5DDE">
      <w:pPr>
        <w:rPr>
          <w:rFonts w:ascii="仿宋_GB2312" w:eastAsia="仿宋_GB2312"/>
          <w:sz w:val="32"/>
          <w:szCs w:val="32"/>
        </w:rPr>
      </w:pPr>
      <w:r w:rsidRPr="000F5DDE">
        <w:rPr>
          <w:rFonts w:ascii="仿宋_GB2312" w:eastAsia="仿宋_GB2312" w:hint="eastAsia"/>
          <w:sz w:val="32"/>
          <w:szCs w:val="32"/>
        </w:rPr>
        <w:t xml:space="preserve">　　（七）符合国发[2014]43号文件精神，偿债保障措施完善的企业发行债券，不与地方政府债务率和地方财政公共预算收入挂钩。</w:t>
      </w:r>
    </w:p>
    <w:p w:rsidR="000F5DDE" w:rsidRPr="000F5DDE" w:rsidRDefault="000F5DDE" w:rsidP="000F5DDE">
      <w:pPr>
        <w:rPr>
          <w:rFonts w:ascii="仿宋_GB2312" w:eastAsia="仿宋_GB2312"/>
          <w:sz w:val="32"/>
          <w:szCs w:val="32"/>
        </w:rPr>
      </w:pPr>
      <w:r w:rsidRPr="000F5DDE">
        <w:rPr>
          <w:rFonts w:ascii="仿宋_GB2312" w:eastAsia="仿宋_GB2312" w:hint="eastAsia"/>
          <w:sz w:val="32"/>
          <w:szCs w:val="32"/>
        </w:rPr>
        <w:t xml:space="preserve">　　（八）将本区域企业发行企业债券、中期票据等余额一般不超过上年度GDP8%的预警线提高到12%。</w:t>
      </w:r>
    </w:p>
    <w:p w:rsidR="000F5DDE" w:rsidRPr="000F5DDE" w:rsidRDefault="000F5DDE" w:rsidP="000F5DDE">
      <w:pPr>
        <w:rPr>
          <w:rFonts w:ascii="仿宋_GB2312" w:eastAsia="仿宋_GB2312"/>
          <w:sz w:val="32"/>
          <w:szCs w:val="32"/>
        </w:rPr>
      </w:pPr>
      <w:r w:rsidRPr="000F5DDE">
        <w:rPr>
          <w:rFonts w:ascii="仿宋_GB2312" w:eastAsia="仿宋_GB2312" w:hint="eastAsia"/>
          <w:sz w:val="32"/>
          <w:szCs w:val="32"/>
        </w:rPr>
        <w:t xml:space="preserve">　　五、简化企业募集资金投向变更程序</w:t>
      </w:r>
    </w:p>
    <w:p w:rsidR="000F5DDE" w:rsidRPr="000F5DDE" w:rsidRDefault="000F5DDE" w:rsidP="000F5DDE">
      <w:pPr>
        <w:rPr>
          <w:rFonts w:ascii="仿宋_GB2312" w:eastAsia="仿宋_GB2312"/>
          <w:sz w:val="32"/>
          <w:szCs w:val="32"/>
        </w:rPr>
      </w:pPr>
      <w:r w:rsidRPr="000F5DDE">
        <w:rPr>
          <w:rFonts w:ascii="仿宋_GB2312" w:eastAsia="仿宋_GB2312" w:hint="eastAsia"/>
          <w:sz w:val="32"/>
          <w:szCs w:val="32"/>
        </w:rPr>
        <w:t xml:space="preserve">　　（九）在偿债保障措施完善、不影响债券信用级别的情况下，发债企业如需变更募集资金投向，用于其他符合国家鼓励方向的项目建设，应发布公告说明相关情况。自发布变更公告之日起15个工作日内，如单独或合计持有</w:t>
      </w:r>
      <w:proofErr w:type="gramStart"/>
      <w:r w:rsidRPr="000F5DDE">
        <w:rPr>
          <w:rFonts w:ascii="仿宋_GB2312" w:eastAsia="仿宋_GB2312" w:hint="eastAsia"/>
          <w:sz w:val="32"/>
          <w:szCs w:val="32"/>
        </w:rPr>
        <w:t>未偿</w:t>
      </w:r>
      <w:proofErr w:type="gramEnd"/>
      <w:r w:rsidRPr="000F5DDE">
        <w:rPr>
          <w:rFonts w:ascii="仿宋_GB2312" w:eastAsia="仿宋_GB2312" w:hint="eastAsia"/>
          <w:sz w:val="32"/>
          <w:szCs w:val="32"/>
        </w:rPr>
        <w:t>还债券本金总额10%及以上的债券持有人（以公告日为债权登记日）向债权代理人提出书面异议，则需召开债券持有人会议对变更事项进行表决，表决通过后中央企业报国家发展改革委、地方企业报省级（计划单列市）发展改革部门备案后实施变更。如没有符合上述条件的债券持有人提出书面异议，则发债企业直接向相应部门备案后实施变更。</w:t>
      </w:r>
    </w:p>
    <w:p w:rsidR="000F5DDE" w:rsidRPr="000F5DDE" w:rsidRDefault="000F5DDE" w:rsidP="000F5DDE">
      <w:pPr>
        <w:rPr>
          <w:rFonts w:ascii="仿宋_GB2312" w:eastAsia="仿宋_GB2312"/>
          <w:sz w:val="32"/>
          <w:szCs w:val="32"/>
        </w:rPr>
      </w:pPr>
      <w:r w:rsidRPr="000F5DDE">
        <w:rPr>
          <w:rFonts w:ascii="仿宋_GB2312" w:eastAsia="仿宋_GB2312" w:hint="eastAsia"/>
          <w:sz w:val="32"/>
          <w:szCs w:val="32"/>
        </w:rPr>
        <w:t xml:space="preserve">　　六、鼓励企业发债用于特许经营等PPP项目建设</w:t>
      </w:r>
    </w:p>
    <w:p w:rsidR="000F5DDE" w:rsidRPr="000F5DDE" w:rsidRDefault="000F5DDE" w:rsidP="000F5DDE">
      <w:pPr>
        <w:rPr>
          <w:rFonts w:ascii="仿宋_GB2312" w:eastAsia="仿宋_GB2312"/>
          <w:sz w:val="32"/>
          <w:szCs w:val="32"/>
        </w:rPr>
      </w:pPr>
      <w:r w:rsidRPr="000F5DDE">
        <w:rPr>
          <w:rFonts w:ascii="仿宋_GB2312" w:eastAsia="仿宋_GB2312" w:hint="eastAsia"/>
          <w:sz w:val="32"/>
          <w:szCs w:val="32"/>
        </w:rPr>
        <w:lastRenderedPageBreak/>
        <w:t xml:space="preserve">　　（十）鼓励一般生产经营类企业和实体化运营的城投企业通过发行一般企业债券、项目收益债券、可续期债券等，用于经有关部门批准的基础设施和公共设施特许经营等PPP项目建设。</w:t>
      </w:r>
    </w:p>
    <w:sectPr w:rsidR="000F5DDE" w:rsidRPr="000F5D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400" w:rsidRDefault="00E26400" w:rsidP="000F5DDE">
      <w:r>
        <w:separator/>
      </w:r>
    </w:p>
  </w:endnote>
  <w:endnote w:type="continuationSeparator" w:id="0">
    <w:p w:rsidR="00E26400" w:rsidRDefault="00E26400" w:rsidP="000F5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400" w:rsidRDefault="00E26400" w:rsidP="000F5DDE">
      <w:r>
        <w:separator/>
      </w:r>
    </w:p>
  </w:footnote>
  <w:footnote w:type="continuationSeparator" w:id="0">
    <w:p w:rsidR="00E26400" w:rsidRDefault="00E26400" w:rsidP="000F5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B6F5B"/>
    <w:multiLevelType w:val="multilevel"/>
    <w:tmpl w:val="95BAA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A35836"/>
    <w:multiLevelType w:val="multilevel"/>
    <w:tmpl w:val="BF3C0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D8461D"/>
    <w:multiLevelType w:val="multilevel"/>
    <w:tmpl w:val="23A4B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AC67C5"/>
    <w:multiLevelType w:val="multilevel"/>
    <w:tmpl w:val="995E3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1835D0"/>
    <w:multiLevelType w:val="multilevel"/>
    <w:tmpl w:val="4C4C8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B91196"/>
    <w:multiLevelType w:val="multilevel"/>
    <w:tmpl w:val="CAC8E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6D04FB"/>
    <w:multiLevelType w:val="multilevel"/>
    <w:tmpl w:val="8938A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1E5670"/>
    <w:multiLevelType w:val="multilevel"/>
    <w:tmpl w:val="A5F0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4"/>
  </w:num>
  <w:num w:numId="4">
    <w:abstractNumId w:val="1"/>
  </w:num>
  <w:num w:numId="5">
    <w:abstractNumId w:val="0"/>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DDE"/>
    <w:rsid w:val="000F5DDE"/>
    <w:rsid w:val="003B5C66"/>
    <w:rsid w:val="00E26400"/>
    <w:rsid w:val="00F47D5C"/>
    <w:rsid w:val="00F544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link w:val="1Char"/>
    <w:uiPriority w:val="9"/>
    <w:qFormat/>
    <w:rsid w:val="000F5DDE"/>
    <w:pPr>
      <w:widowControl/>
      <w:spacing w:before="100" w:beforeAutospacing="1" w:after="100" w:afterAutospacing="1"/>
      <w:ind w:hanging="18913"/>
      <w:jc w:val="left"/>
      <w:outlineLvl w:val="0"/>
    </w:pPr>
    <w:rPr>
      <w:rFonts w:ascii="宋体" w:hAnsi="宋体" w:cs="宋体"/>
      <w:b/>
      <w:bCs/>
      <w:vanish/>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F5DDE"/>
    <w:rPr>
      <w:rFonts w:ascii="宋体" w:hAnsi="宋体" w:cs="宋体"/>
      <w:b/>
      <w:bCs/>
      <w:vanish/>
      <w:kern w:val="36"/>
      <w:sz w:val="48"/>
      <w:szCs w:val="48"/>
    </w:rPr>
  </w:style>
  <w:style w:type="character" w:styleId="a3">
    <w:name w:val="Hyperlink"/>
    <w:uiPriority w:val="99"/>
    <w:semiHidden/>
    <w:unhideWhenUsed/>
    <w:rsid w:val="000F5DDE"/>
    <w:rPr>
      <w:strike w:val="0"/>
      <w:dstrike w:val="0"/>
      <w:color w:val="4D4D4D"/>
      <w:u w:val="none"/>
      <w:effect w:val="none"/>
    </w:rPr>
  </w:style>
  <w:style w:type="paragraph" w:styleId="a4">
    <w:name w:val="Normal (Web)"/>
    <w:basedOn w:val="a"/>
    <w:uiPriority w:val="99"/>
    <w:semiHidden/>
    <w:unhideWhenUsed/>
    <w:rsid w:val="000F5DDE"/>
    <w:pPr>
      <w:widowControl/>
      <w:spacing w:before="100" w:beforeAutospacing="1" w:after="100" w:afterAutospacing="1"/>
      <w:jc w:val="left"/>
    </w:pPr>
    <w:rPr>
      <w:rFonts w:ascii="宋体" w:hAnsi="宋体" w:cs="宋体"/>
      <w:kern w:val="0"/>
      <w:sz w:val="24"/>
      <w:szCs w:val="24"/>
    </w:rPr>
  </w:style>
  <w:style w:type="paragraph" w:styleId="z-">
    <w:name w:val="HTML Top of Form"/>
    <w:basedOn w:val="a"/>
    <w:next w:val="a"/>
    <w:link w:val="z-Char"/>
    <w:hidden/>
    <w:uiPriority w:val="99"/>
    <w:semiHidden/>
    <w:unhideWhenUsed/>
    <w:rsid w:val="000F5DDE"/>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0"/>
    <w:link w:val="z-"/>
    <w:uiPriority w:val="99"/>
    <w:semiHidden/>
    <w:rsid w:val="000F5DDE"/>
    <w:rPr>
      <w:rFonts w:ascii="Arial" w:hAnsi="Arial" w:cs="Arial"/>
      <w:vanish/>
      <w:sz w:val="16"/>
      <w:szCs w:val="16"/>
    </w:rPr>
  </w:style>
  <w:style w:type="paragraph" w:styleId="z-0">
    <w:name w:val="HTML Bottom of Form"/>
    <w:basedOn w:val="a"/>
    <w:next w:val="a"/>
    <w:link w:val="z-Char0"/>
    <w:hidden/>
    <w:uiPriority w:val="99"/>
    <w:semiHidden/>
    <w:unhideWhenUsed/>
    <w:rsid w:val="000F5DDE"/>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0"/>
    <w:link w:val="z-0"/>
    <w:uiPriority w:val="99"/>
    <w:semiHidden/>
    <w:rsid w:val="000F5DDE"/>
    <w:rPr>
      <w:rFonts w:ascii="Arial" w:hAnsi="Arial" w:cs="Arial"/>
      <w:vanish/>
      <w:sz w:val="16"/>
      <w:szCs w:val="16"/>
    </w:rPr>
  </w:style>
  <w:style w:type="character" w:customStyle="1" w:styleId="color11">
    <w:name w:val="color11"/>
    <w:rsid w:val="000F5DDE"/>
    <w:rPr>
      <w:color w:val="2F6698"/>
    </w:rPr>
  </w:style>
  <w:style w:type="character" w:styleId="a5">
    <w:name w:val="Strong"/>
    <w:uiPriority w:val="22"/>
    <w:qFormat/>
    <w:rsid w:val="000F5DDE"/>
    <w:rPr>
      <w:b/>
      <w:bCs/>
    </w:rPr>
  </w:style>
  <w:style w:type="paragraph" w:styleId="a6">
    <w:name w:val="header"/>
    <w:basedOn w:val="a"/>
    <w:link w:val="Char"/>
    <w:uiPriority w:val="99"/>
    <w:unhideWhenUsed/>
    <w:rsid w:val="000F5D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0F5DDE"/>
    <w:rPr>
      <w:kern w:val="2"/>
      <w:sz w:val="18"/>
      <w:szCs w:val="18"/>
    </w:rPr>
  </w:style>
  <w:style w:type="paragraph" w:styleId="a7">
    <w:name w:val="footer"/>
    <w:basedOn w:val="a"/>
    <w:link w:val="Char0"/>
    <w:uiPriority w:val="99"/>
    <w:unhideWhenUsed/>
    <w:rsid w:val="000F5DDE"/>
    <w:pPr>
      <w:tabs>
        <w:tab w:val="center" w:pos="4153"/>
        <w:tab w:val="right" w:pos="8306"/>
      </w:tabs>
      <w:snapToGrid w:val="0"/>
      <w:jc w:val="left"/>
    </w:pPr>
    <w:rPr>
      <w:sz w:val="18"/>
      <w:szCs w:val="18"/>
    </w:rPr>
  </w:style>
  <w:style w:type="character" w:customStyle="1" w:styleId="Char0">
    <w:name w:val="页脚 Char"/>
    <w:basedOn w:val="a0"/>
    <w:link w:val="a7"/>
    <w:uiPriority w:val="99"/>
    <w:rsid w:val="000F5DDE"/>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link w:val="1Char"/>
    <w:uiPriority w:val="9"/>
    <w:qFormat/>
    <w:rsid w:val="000F5DDE"/>
    <w:pPr>
      <w:widowControl/>
      <w:spacing w:before="100" w:beforeAutospacing="1" w:after="100" w:afterAutospacing="1"/>
      <w:ind w:hanging="18913"/>
      <w:jc w:val="left"/>
      <w:outlineLvl w:val="0"/>
    </w:pPr>
    <w:rPr>
      <w:rFonts w:ascii="宋体" w:hAnsi="宋体" w:cs="宋体"/>
      <w:b/>
      <w:bCs/>
      <w:vanish/>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F5DDE"/>
    <w:rPr>
      <w:rFonts w:ascii="宋体" w:hAnsi="宋体" w:cs="宋体"/>
      <w:b/>
      <w:bCs/>
      <w:vanish/>
      <w:kern w:val="36"/>
      <w:sz w:val="48"/>
      <w:szCs w:val="48"/>
    </w:rPr>
  </w:style>
  <w:style w:type="character" w:styleId="a3">
    <w:name w:val="Hyperlink"/>
    <w:uiPriority w:val="99"/>
    <w:semiHidden/>
    <w:unhideWhenUsed/>
    <w:rsid w:val="000F5DDE"/>
    <w:rPr>
      <w:strike w:val="0"/>
      <w:dstrike w:val="0"/>
      <w:color w:val="4D4D4D"/>
      <w:u w:val="none"/>
      <w:effect w:val="none"/>
    </w:rPr>
  </w:style>
  <w:style w:type="paragraph" w:styleId="a4">
    <w:name w:val="Normal (Web)"/>
    <w:basedOn w:val="a"/>
    <w:uiPriority w:val="99"/>
    <w:semiHidden/>
    <w:unhideWhenUsed/>
    <w:rsid w:val="000F5DDE"/>
    <w:pPr>
      <w:widowControl/>
      <w:spacing w:before="100" w:beforeAutospacing="1" w:after="100" w:afterAutospacing="1"/>
      <w:jc w:val="left"/>
    </w:pPr>
    <w:rPr>
      <w:rFonts w:ascii="宋体" w:hAnsi="宋体" w:cs="宋体"/>
      <w:kern w:val="0"/>
      <w:sz w:val="24"/>
      <w:szCs w:val="24"/>
    </w:rPr>
  </w:style>
  <w:style w:type="paragraph" w:styleId="z-">
    <w:name w:val="HTML Top of Form"/>
    <w:basedOn w:val="a"/>
    <w:next w:val="a"/>
    <w:link w:val="z-Char"/>
    <w:hidden/>
    <w:uiPriority w:val="99"/>
    <w:semiHidden/>
    <w:unhideWhenUsed/>
    <w:rsid w:val="000F5DDE"/>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0"/>
    <w:link w:val="z-"/>
    <w:uiPriority w:val="99"/>
    <w:semiHidden/>
    <w:rsid w:val="000F5DDE"/>
    <w:rPr>
      <w:rFonts w:ascii="Arial" w:hAnsi="Arial" w:cs="Arial"/>
      <w:vanish/>
      <w:sz w:val="16"/>
      <w:szCs w:val="16"/>
    </w:rPr>
  </w:style>
  <w:style w:type="paragraph" w:styleId="z-0">
    <w:name w:val="HTML Bottom of Form"/>
    <w:basedOn w:val="a"/>
    <w:next w:val="a"/>
    <w:link w:val="z-Char0"/>
    <w:hidden/>
    <w:uiPriority w:val="99"/>
    <w:semiHidden/>
    <w:unhideWhenUsed/>
    <w:rsid w:val="000F5DDE"/>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0"/>
    <w:link w:val="z-0"/>
    <w:uiPriority w:val="99"/>
    <w:semiHidden/>
    <w:rsid w:val="000F5DDE"/>
    <w:rPr>
      <w:rFonts w:ascii="Arial" w:hAnsi="Arial" w:cs="Arial"/>
      <w:vanish/>
      <w:sz w:val="16"/>
      <w:szCs w:val="16"/>
    </w:rPr>
  </w:style>
  <w:style w:type="character" w:customStyle="1" w:styleId="color11">
    <w:name w:val="color11"/>
    <w:rsid w:val="000F5DDE"/>
    <w:rPr>
      <w:color w:val="2F6698"/>
    </w:rPr>
  </w:style>
  <w:style w:type="character" w:styleId="a5">
    <w:name w:val="Strong"/>
    <w:uiPriority w:val="22"/>
    <w:qFormat/>
    <w:rsid w:val="000F5DDE"/>
    <w:rPr>
      <w:b/>
      <w:bCs/>
    </w:rPr>
  </w:style>
  <w:style w:type="paragraph" w:styleId="a6">
    <w:name w:val="header"/>
    <w:basedOn w:val="a"/>
    <w:link w:val="Char"/>
    <w:uiPriority w:val="99"/>
    <w:unhideWhenUsed/>
    <w:rsid w:val="000F5D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0F5DDE"/>
    <w:rPr>
      <w:kern w:val="2"/>
      <w:sz w:val="18"/>
      <w:szCs w:val="18"/>
    </w:rPr>
  </w:style>
  <w:style w:type="paragraph" w:styleId="a7">
    <w:name w:val="footer"/>
    <w:basedOn w:val="a"/>
    <w:link w:val="Char0"/>
    <w:uiPriority w:val="99"/>
    <w:unhideWhenUsed/>
    <w:rsid w:val="000F5DDE"/>
    <w:pPr>
      <w:tabs>
        <w:tab w:val="center" w:pos="4153"/>
        <w:tab w:val="right" w:pos="8306"/>
      </w:tabs>
      <w:snapToGrid w:val="0"/>
      <w:jc w:val="left"/>
    </w:pPr>
    <w:rPr>
      <w:sz w:val="18"/>
      <w:szCs w:val="18"/>
    </w:rPr>
  </w:style>
  <w:style w:type="character" w:customStyle="1" w:styleId="Char0">
    <w:name w:val="页脚 Char"/>
    <w:basedOn w:val="a0"/>
    <w:link w:val="a7"/>
    <w:uiPriority w:val="99"/>
    <w:rsid w:val="000F5DD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75156">
      <w:marLeft w:val="0"/>
      <w:marRight w:val="0"/>
      <w:marTop w:val="100"/>
      <w:marBottom w:val="100"/>
      <w:divBdr>
        <w:top w:val="none" w:sz="0" w:space="0" w:color="auto"/>
        <w:left w:val="none" w:sz="0" w:space="0" w:color="auto"/>
        <w:bottom w:val="none" w:sz="0" w:space="0" w:color="auto"/>
        <w:right w:val="none" w:sz="0" w:space="0" w:color="auto"/>
      </w:divBdr>
      <w:divsChild>
        <w:div w:id="343940402">
          <w:marLeft w:val="0"/>
          <w:marRight w:val="0"/>
          <w:marTop w:val="0"/>
          <w:marBottom w:val="0"/>
          <w:divBdr>
            <w:top w:val="none" w:sz="0" w:space="0" w:color="auto"/>
            <w:left w:val="none" w:sz="0" w:space="0" w:color="auto"/>
            <w:bottom w:val="none" w:sz="0" w:space="0" w:color="auto"/>
            <w:right w:val="none" w:sz="0" w:space="0" w:color="auto"/>
          </w:divBdr>
          <w:divsChild>
            <w:div w:id="2116823179">
              <w:marLeft w:val="0"/>
              <w:marRight w:val="0"/>
              <w:marTop w:val="0"/>
              <w:marBottom w:val="0"/>
              <w:divBdr>
                <w:top w:val="none" w:sz="0" w:space="0" w:color="auto"/>
                <w:left w:val="none" w:sz="0" w:space="0" w:color="auto"/>
                <w:bottom w:val="none" w:sz="0" w:space="0" w:color="auto"/>
                <w:right w:val="none" w:sz="0" w:space="0" w:color="auto"/>
              </w:divBdr>
            </w:div>
            <w:div w:id="356275340">
              <w:marLeft w:val="0"/>
              <w:marRight w:val="0"/>
              <w:marTop w:val="0"/>
              <w:marBottom w:val="300"/>
              <w:divBdr>
                <w:top w:val="none" w:sz="0" w:space="0" w:color="auto"/>
                <w:left w:val="none" w:sz="0" w:space="0" w:color="auto"/>
                <w:bottom w:val="none" w:sz="0" w:space="0" w:color="auto"/>
                <w:right w:val="none" w:sz="0" w:space="0" w:color="auto"/>
              </w:divBdr>
              <w:divsChild>
                <w:div w:id="114951939">
                  <w:marLeft w:val="0"/>
                  <w:marRight w:val="-4350"/>
                  <w:marTop w:val="0"/>
                  <w:marBottom w:val="0"/>
                  <w:divBdr>
                    <w:top w:val="none" w:sz="0" w:space="0" w:color="auto"/>
                    <w:left w:val="none" w:sz="0" w:space="0" w:color="auto"/>
                    <w:bottom w:val="none" w:sz="0" w:space="0" w:color="auto"/>
                    <w:right w:val="none" w:sz="0" w:space="0" w:color="auto"/>
                  </w:divBdr>
                  <w:divsChild>
                    <w:div w:id="1024601461">
                      <w:marLeft w:val="0"/>
                      <w:marRight w:val="4800"/>
                      <w:marTop w:val="0"/>
                      <w:marBottom w:val="0"/>
                      <w:divBdr>
                        <w:top w:val="none" w:sz="0" w:space="0" w:color="auto"/>
                        <w:left w:val="none" w:sz="0" w:space="0" w:color="auto"/>
                        <w:bottom w:val="none" w:sz="0" w:space="0" w:color="auto"/>
                        <w:right w:val="none" w:sz="0" w:space="0" w:color="auto"/>
                      </w:divBdr>
                      <w:divsChild>
                        <w:div w:id="2122064150">
                          <w:marLeft w:val="0"/>
                          <w:marRight w:val="0"/>
                          <w:marTop w:val="0"/>
                          <w:marBottom w:val="75"/>
                          <w:divBdr>
                            <w:top w:val="none" w:sz="0" w:space="0" w:color="auto"/>
                            <w:left w:val="none" w:sz="0" w:space="0" w:color="auto"/>
                            <w:bottom w:val="none" w:sz="0" w:space="0" w:color="auto"/>
                            <w:right w:val="none" w:sz="0" w:space="0" w:color="auto"/>
                          </w:divBdr>
                        </w:div>
                        <w:div w:id="92752612">
                          <w:marLeft w:val="0"/>
                          <w:marRight w:val="0"/>
                          <w:marTop w:val="225"/>
                          <w:marBottom w:val="375"/>
                          <w:divBdr>
                            <w:top w:val="none" w:sz="0" w:space="0" w:color="auto"/>
                            <w:left w:val="none" w:sz="0" w:space="0" w:color="auto"/>
                            <w:bottom w:val="none" w:sz="0" w:space="0" w:color="auto"/>
                            <w:right w:val="none" w:sz="0" w:space="0" w:color="auto"/>
                          </w:divBdr>
                          <w:divsChild>
                            <w:div w:id="15568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17132">
                  <w:marLeft w:val="0"/>
                  <w:marRight w:val="0"/>
                  <w:marTop w:val="0"/>
                  <w:marBottom w:val="0"/>
                  <w:divBdr>
                    <w:top w:val="none" w:sz="0" w:space="0" w:color="auto"/>
                    <w:left w:val="none" w:sz="0" w:space="0" w:color="auto"/>
                    <w:bottom w:val="none" w:sz="0" w:space="0" w:color="auto"/>
                    <w:right w:val="none" w:sz="0" w:space="0" w:color="auto"/>
                  </w:divBdr>
                  <w:divsChild>
                    <w:div w:id="1737127455">
                      <w:marLeft w:val="0"/>
                      <w:marRight w:val="0"/>
                      <w:marTop w:val="0"/>
                      <w:marBottom w:val="0"/>
                      <w:divBdr>
                        <w:top w:val="none" w:sz="0" w:space="0" w:color="auto"/>
                        <w:left w:val="single" w:sz="6" w:space="0" w:color="D6D6D6"/>
                        <w:bottom w:val="single" w:sz="6" w:space="0" w:color="D6D6D6"/>
                        <w:right w:val="single" w:sz="6" w:space="0" w:color="D6D6D6"/>
                      </w:divBdr>
                    </w:div>
                    <w:div w:id="907616129">
                      <w:marLeft w:val="0"/>
                      <w:marRight w:val="0"/>
                      <w:marTop w:val="0"/>
                      <w:marBottom w:val="0"/>
                      <w:divBdr>
                        <w:top w:val="none" w:sz="0" w:space="0" w:color="auto"/>
                        <w:left w:val="single" w:sz="6" w:space="0" w:color="D6D6D6"/>
                        <w:bottom w:val="single" w:sz="6" w:space="0" w:color="D6D6D6"/>
                        <w:right w:val="single" w:sz="6" w:space="0" w:color="D6D6D6"/>
                      </w:divBdr>
                    </w:div>
                  </w:divsChild>
                </w:div>
              </w:divsChild>
            </w:div>
            <w:div w:id="301158591">
              <w:marLeft w:val="0"/>
              <w:marRight w:val="0"/>
              <w:marTop w:val="0"/>
              <w:marBottom w:val="0"/>
              <w:divBdr>
                <w:top w:val="none" w:sz="0" w:space="0" w:color="auto"/>
                <w:left w:val="none" w:sz="0" w:space="0" w:color="auto"/>
                <w:bottom w:val="none" w:sz="0" w:space="0" w:color="auto"/>
                <w:right w:val="none" w:sz="0" w:space="0" w:color="auto"/>
              </w:divBdr>
            </w:div>
            <w:div w:id="153696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3998">
      <w:marLeft w:val="0"/>
      <w:marRight w:val="0"/>
      <w:marTop w:val="0"/>
      <w:marBottom w:val="0"/>
      <w:divBdr>
        <w:top w:val="none" w:sz="0" w:space="0" w:color="auto"/>
        <w:left w:val="none" w:sz="0" w:space="0" w:color="auto"/>
        <w:bottom w:val="none" w:sz="0" w:space="0" w:color="auto"/>
        <w:right w:val="none" w:sz="0" w:space="0" w:color="auto"/>
      </w:divBdr>
      <w:divsChild>
        <w:div w:id="889925653">
          <w:marLeft w:val="0"/>
          <w:marRight w:val="0"/>
          <w:marTop w:val="0"/>
          <w:marBottom w:val="0"/>
          <w:divBdr>
            <w:top w:val="single" w:sz="6" w:space="0" w:color="E9E9E9"/>
            <w:left w:val="single" w:sz="6" w:space="0" w:color="E9E9E9"/>
            <w:bottom w:val="single" w:sz="6" w:space="0" w:color="E9E9E9"/>
            <w:right w:val="single" w:sz="6" w:space="0" w:color="E9E9E9"/>
          </w:divBdr>
        </w:div>
      </w:divsChild>
    </w:div>
    <w:div w:id="1796604461">
      <w:marLeft w:val="0"/>
      <w:marRight w:val="0"/>
      <w:marTop w:val="30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161</Words>
  <Characters>923</Characters>
  <Application>Microsoft Office Word</Application>
  <DocSecurity>0</DocSecurity>
  <Lines>7</Lines>
  <Paragraphs>2</Paragraphs>
  <ScaleCrop>false</ScaleCrop>
  <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2016-03-03T05:44:00Z</dcterms:created>
  <dcterms:modified xsi:type="dcterms:W3CDTF">2016-03-03T05:57:00Z</dcterms:modified>
</cp:coreProperties>
</file>